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44"/>
        </w:rPr>
      </w:pPr>
      <w:r>
        <w:rPr>
          <w:rFonts w:ascii="Arial" w:hAnsi="Arial" w:cs="Arial"/>
          <w:b/>
          <w:sz w:val="44"/>
        </w:rPr>
        <w:t>SERVICIOS EDUCATIVOS DEL ESTADO DE CHIHUAHUA</w:t>
      </w:r>
    </w:p>
    <w:p>
      <w:pPr>
        <w:ind w:left="-567" w:right="-801"/>
        <w:rPr>
          <w:rFonts w:ascii="Arial" w:hAnsi="Arial" w:cs="Arial"/>
        </w:rPr>
      </w:pPr>
    </w:p>
    <w:p>
      <w:pPr>
        <w:ind w:left="-567" w:right="-801"/>
        <w:rPr>
          <w:rFonts w:ascii="Arial" w:hAnsi="Arial" w:cs="Arial"/>
        </w:rPr>
      </w:pPr>
    </w:p>
    <w:p>
      <w:pPr>
        <w:ind w:left="-567" w:right="-801"/>
        <w:rPr>
          <w:rFonts w:ascii="Arial" w:hAnsi="Arial" w:cs="Arial"/>
        </w:rPr>
      </w:pPr>
    </w:p>
    <w:p>
      <w:pPr>
        <w:ind w:left="-567" w:right="-801"/>
        <w:rPr>
          <w:rFonts w:ascii="Arial" w:hAnsi="Arial" w:cs="Arial"/>
        </w:rPr>
      </w:pPr>
    </w:p>
    <w:p>
      <w:pPr>
        <w:ind w:left="-567" w:right="-801"/>
        <w:rPr>
          <w:rFonts w:ascii="Arial" w:hAnsi="Arial" w:cs="Arial"/>
        </w:rPr>
      </w:pPr>
    </w:p>
    <w:p>
      <w:pPr>
        <w:ind w:left="-567" w:right="-801"/>
        <w:rPr>
          <w:rFonts w:ascii="Arial" w:hAnsi="Arial" w:cs="Arial"/>
          <w:b/>
        </w:rPr>
      </w:pPr>
    </w:p>
    <w:p>
      <w:pPr>
        <w:ind w:left="-567" w:right="-801"/>
        <w:jc w:val="center"/>
        <w:rPr>
          <w:rFonts w:ascii="Arial" w:hAnsi="Arial" w:cs="Arial"/>
          <w:b/>
          <w:sz w:val="40"/>
        </w:rPr>
      </w:pPr>
      <w:r>
        <w:rPr>
          <w:rFonts w:ascii="Arial" w:hAnsi="Arial" w:cs="Arial"/>
          <w:b/>
          <w:sz w:val="40"/>
        </w:rPr>
        <w:t>DIAGNÓSTICO DEL PROGRAMA PRESUPUESTARIO</w:t>
      </w:r>
    </w:p>
    <w:p>
      <w:pPr>
        <w:ind w:left="-567" w:right="-801"/>
        <w:jc w:val="center"/>
        <w:rPr>
          <w:rFonts w:ascii="Arial" w:hAnsi="Arial" w:cs="Arial"/>
          <w:b/>
          <w:sz w:val="40"/>
        </w:rPr>
      </w:pPr>
      <w:r>
        <w:rPr>
          <w:rFonts w:ascii="Arial" w:hAnsi="Arial" w:cs="Arial"/>
          <w:b/>
          <w:sz w:val="40"/>
        </w:rPr>
        <w:t>SERVICIOS PARA LA CALIDAD EN EDUCACIÓN BÁSICA 2E208C1</w:t>
      </w: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36"/>
        </w:rPr>
      </w:pPr>
    </w:p>
    <w:p>
      <w:pPr>
        <w:ind w:left="-567" w:right="-801"/>
        <w:jc w:val="center"/>
        <w:rPr>
          <w:rFonts w:ascii="Arial" w:hAnsi="Arial" w:cs="Arial"/>
          <w:b/>
          <w:sz w:val="28"/>
        </w:rPr>
        <w:sectPr>
          <w:headerReference w:type="default" r:id="rId8"/>
          <w:footerReference w:type="default" r:id="rId9"/>
          <w:type w:val="continuous"/>
          <w:pgSz w:w="12240" w:h="15840"/>
          <w:pgMar w:top="1418" w:right="900" w:bottom="1588" w:left="1276" w:header="28" w:footer="23" w:gutter="0"/>
          <w:pgNumType w:start="1"/>
          <w:cols w:space="708"/>
          <w:titlePg/>
          <w:docGrid w:linePitch="360"/>
        </w:sectPr>
      </w:pPr>
      <w:r>
        <w:rPr>
          <w:rFonts w:ascii="Arial" w:hAnsi="Arial" w:cs="Arial"/>
          <w:b/>
          <w:sz w:val="28"/>
        </w:rPr>
        <w:t>Actualizado: Septiembre 2023</w:t>
      </w:r>
    </w:p>
    <w:sdt>
      <w:sdtPr>
        <w:rPr>
          <w:rFonts w:ascii="Arial" w:eastAsiaTheme="minorHAnsi" w:hAnsi="Arial" w:cs="Arial"/>
          <w:color w:val="auto"/>
          <w:sz w:val="22"/>
          <w:szCs w:val="22"/>
          <w:lang w:val="es-ES" w:eastAsia="en-US"/>
        </w:rPr>
        <w:id w:val="-1114743385"/>
        <w:docPartObj>
          <w:docPartGallery w:val="Table of Contents"/>
          <w:docPartUnique/>
        </w:docPartObj>
      </w:sdtPr>
      <w:sdtEndPr>
        <w:rPr>
          <w:b/>
          <w:bCs/>
          <w:sz w:val="20"/>
          <w:szCs w:val="20"/>
        </w:rPr>
      </w:sdtEndPr>
      <w:sdtContent>
        <w:p>
          <w:pPr>
            <w:pStyle w:val="TtulodeTDC"/>
            <w:spacing w:before="0" w:line="240" w:lineRule="auto"/>
            <w:ind w:left="-567" w:right="-801"/>
            <w:rPr>
              <w:rFonts w:ascii="Arial" w:hAnsi="Arial" w:cs="Arial"/>
              <w:b/>
              <w:color w:val="auto"/>
              <w:sz w:val="28"/>
              <w:lang w:val="es-ES"/>
            </w:rPr>
          </w:pPr>
          <w:r>
            <w:rPr>
              <w:rFonts w:ascii="Arial" w:eastAsiaTheme="minorHAnsi" w:hAnsi="Arial" w:cs="Arial"/>
              <w:b/>
              <w:color w:val="auto"/>
              <w:sz w:val="28"/>
              <w:szCs w:val="22"/>
              <w:lang w:val="es-ES" w:eastAsia="en-US"/>
            </w:rPr>
            <w:t>Índice</w:t>
          </w:r>
          <w:r>
            <w:rPr>
              <w:rFonts w:ascii="Arial" w:hAnsi="Arial" w:cs="Arial"/>
              <w:b/>
              <w:color w:val="auto"/>
              <w:sz w:val="28"/>
              <w:lang w:val="es-ES"/>
            </w:rPr>
            <w:tab/>
          </w:r>
        </w:p>
        <w:p>
          <w:pPr>
            <w:pStyle w:val="TDC1"/>
            <w:spacing w:line="240" w:lineRule="auto"/>
            <w:rPr>
              <w:rFonts w:eastAsiaTheme="minorEastAsia"/>
              <w:noProof/>
              <w:sz w:val="21"/>
              <w:szCs w:val="21"/>
              <w:lang w:val="es-MX" w:eastAsia="es-MX"/>
            </w:rPr>
          </w:pPr>
          <w:r>
            <w:rPr>
              <w:rFonts w:ascii="Arial" w:hAnsi="Arial" w:cs="Arial"/>
              <w:sz w:val="20"/>
              <w:szCs w:val="20"/>
            </w:rPr>
            <w:fldChar w:fldCharType="begin"/>
          </w:r>
          <w:r>
            <w:rPr>
              <w:rFonts w:ascii="Arial" w:hAnsi="Arial" w:cs="Arial"/>
              <w:sz w:val="20"/>
              <w:szCs w:val="20"/>
            </w:rPr>
            <w:instrText xml:space="preserve"> TOC \o "1-3" \h \z \u </w:instrText>
          </w:r>
          <w:r>
            <w:rPr>
              <w:rFonts w:ascii="Arial" w:hAnsi="Arial" w:cs="Arial"/>
              <w:sz w:val="20"/>
              <w:szCs w:val="20"/>
            </w:rPr>
            <w:fldChar w:fldCharType="separate"/>
          </w:r>
          <w:hyperlink w:anchor="_Toc121749420" w:history="1">
            <w:r>
              <w:rPr>
                <w:rStyle w:val="Hipervnculo"/>
                <w:rFonts w:ascii="Arial" w:hAnsi="Arial" w:cs="Arial"/>
                <w:i/>
                <w:noProof/>
                <w:sz w:val="21"/>
                <w:szCs w:val="21"/>
              </w:rPr>
              <w:t>INTRODUCCIÓN</w:t>
            </w:r>
            <w:r>
              <w:rPr>
                <w:noProof/>
                <w:webHidden/>
                <w:sz w:val="21"/>
                <w:szCs w:val="21"/>
              </w:rPr>
              <w:tab/>
            </w:r>
            <w:r>
              <w:rPr>
                <w:noProof/>
                <w:webHidden/>
                <w:sz w:val="21"/>
                <w:szCs w:val="21"/>
              </w:rPr>
              <w:fldChar w:fldCharType="begin"/>
            </w:r>
            <w:r>
              <w:rPr>
                <w:noProof/>
                <w:webHidden/>
                <w:sz w:val="21"/>
                <w:szCs w:val="21"/>
              </w:rPr>
              <w:instrText xml:space="preserve"> PAGEREF _Toc121749420 \h </w:instrText>
            </w:r>
            <w:r>
              <w:rPr>
                <w:noProof/>
                <w:webHidden/>
                <w:sz w:val="21"/>
                <w:szCs w:val="21"/>
              </w:rPr>
            </w:r>
            <w:r>
              <w:rPr>
                <w:noProof/>
                <w:webHidden/>
                <w:sz w:val="21"/>
                <w:szCs w:val="21"/>
              </w:rPr>
              <w:fldChar w:fldCharType="separate"/>
            </w:r>
            <w:r>
              <w:rPr>
                <w:noProof/>
                <w:webHidden/>
                <w:sz w:val="21"/>
                <w:szCs w:val="21"/>
              </w:rPr>
              <w:t>1</w:t>
            </w:r>
            <w:r>
              <w:rPr>
                <w:noProof/>
                <w:webHidden/>
                <w:sz w:val="21"/>
                <w:szCs w:val="21"/>
              </w:rPr>
              <w:fldChar w:fldCharType="end"/>
            </w:r>
          </w:hyperlink>
        </w:p>
        <w:p>
          <w:pPr>
            <w:pStyle w:val="TDC1"/>
            <w:spacing w:line="240" w:lineRule="auto"/>
            <w:rPr>
              <w:rFonts w:eastAsiaTheme="minorEastAsia"/>
              <w:noProof/>
              <w:sz w:val="21"/>
              <w:szCs w:val="21"/>
              <w:lang w:val="es-MX" w:eastAsia="es-MX"/>
            </w:rPr>
          </w:pPr>
          <w:hyperlink w:anchor="_Toc121749421" w:history="1">
            <w:r>
              <w:rPr>
                <w:rStyle w:val="Hipervnculo"/>
                <w:rFonts w:ascii="Arial" w:hAnsi="Arial" w:cs="Arial"/>
                <w:i/>
                <w:noProof/>
                <w:sz w:val="21"/>
                <w:szCs w:val="21"/>
              </w:rPr>
              <w:t>OBJETIVO</w:t>
            </w:r>
            <w:r>
              <w:rPr>
                <w:noProof/>
                <w:webHidden/>
                <w:sz w:val="21"/>
                <w:szCs w:val="21"/>
              </w:rPr>
              <w:tab/>
            </w:r>
            <w:r>
              <w:rPr>
                <w:noProof/>
                <w:webHidden/>
                <w:sz w:val="21"/>
                <w:szCs w:val="21"/>
              </w:rPr>
              <w:fldChar w:fldCharType="begin"/>
            </w:r>
            <w:r>
              <w:rPr>
                <w:noProof/>
                <w:webHidden/>
                <w:sz w:val="21"/>
                <w:szCs w:val="21"/>
              </w:rPr>
              <w:instrText xml:space="preserve"> PAGEREF _Toc121749421 \h </w:instrText>
            </w:r>
            <w:r>
              <w:rPr>
                <w:noProof/>
                <w:webHidden/>
                <w:sz w:val="21"/>
                <w:szCs w:val="21"/>
              </w:rPr>
            </w:r>
            <w:r>
              <w:rPr>
                <w:noProof/>
                <w:webHidden/>
                <w:sz w:val="21"/>
                <w:szCs w:val="21"/>
              </w:rPr>
              <w:fldChar w:fldCharType="separate"/>
            </w:r>
            <w:r>
              <w:rPr>
                <w:noProof/>
                <w:webHidden/>
                <w:sz w:val="21"/>
                <w:szCs w:val="21"/>
              </w:rPr>
              <w:t>1</w:t>
            </w:r>
            <w:r>
              <w:rPr>
                <w:noProof/>
                <w:webHidden/>
                <w:sz w:val="21"/>
                <w:szCs w:val="21"/>
              </w:rPr>
              <w:fldChar w:fldCharType="end"/>
            </w:r>
          </w:hyperlink>
        </w:p>
        <w:p>
          <w:pPr>
            <w:pStyle w:val="TDC1"/>
            <w:spacing w:line="240" w:lineRule="auto"/>
            <w:rPr>
              <w:rFonts w:eastAsiaTheme="minorEastAsia"/>
              <w:noProof/>
              <w:sz w:val="21"/>
              <w:szCs w:val="21"/>
              <w:lang w:val="es-MX" w:eastAsia="es-MX"/>
            </w:rPr>
          </w:pPr>
          <w:hyperlink w:anchor="_Toc121749422" w:history="1">
            <w:r>
              <w:rPr>
                <w:rStyle w:val="Hipervnculo"/>
                <w:rFonts w:ascii="Arial" w:hAnsi="Arial" w:cs="Arial"/>
                <w:i/>
                <w:noProof/>
                <w:sz w:val="21"/>
                <w:szCs w:val="21"/>
                <w:lang w:val="es-MX" w:eastAsia="es-AR"/>
              </w:rPr>
              <w:t>1.</w:t>
            </w:r>
            <w:r>
              <w:rPr>
                <w:rFonts w:eastAsiaTheme="minorEastAsia"/>
                <w:noProof/>
                <w:sz w:val="21"/>
                <w:szCs w:val="21"/>
                <w:lang w:val="es-MX" w:eastAsia="es-MX"/>
              </w:rPr>
              <w:tab/>
            </w:r>
            <w:r>
              <w:rPr>
                <w:rStyle w:val="Hipervnculo"/>
                <w:rFonts w:ascii="Arial" w:hAnsi="Arial" w:cs="Arial"/>
                <w:i/>
                <w:noProof/>
                <w:sz w:val="21"/>
                <w:szCs w:val="21"/>
                <w:lang w:val="es-MX" w:eastAsia="es-AR"/>
              </w:rPr>
              <w:t>ANTECEDENTES</w:t>
            </w:r>
            <w:r>
              <w:rPr>
                <w:noProof/>
                <w:webHidden/>
                <w:sz w:val="21"/>
                <w:szCs w:val="21"/>
              </w:rPr>
              <w:tab/>
            </w:r>
            <w:r>
              <w:rPr>
                <w:noProof/>
                <w:webHidden/>
                <w:sz w:val="21"/>
                <w:szCs w:val="21"/>
              </w:rPr>
              <w:fldChar w:fldCharType="begin"/>
            </w:r>
            <w:r>
              <w:rPr>
                <w:noProof/>
                <w:webHidden/>
                <w:sz w:val="21"/>
                <w:szCs w:val="21"/>
              </w:rPr>
              <w:instrText xml:space="preserve"> PAGEREF _Toc121749422 \h </w:instrText>
            </w:r>
            <w:r>
              <w:rPr>
                <w:noProof/>
                <w:webHidden/>
                <w:sz w:val="21"/>
                <w:szCs w:val="21"/>
              </w:rPr>
            </w:r>
            <w:r>
              <w:rPr>
                <w:noProof/>
                <w:webHidden/>
                <w:sz w:val="21"/>
                <w:szCs w:val="21"/>
              </w:rPr>
              <w:fldChar w:fldCharType="separate"/>
            </w:r>
            <w:r>
              <w:rPr>
                <w:noProof/>
                <w:webHidden/>
                <w:sz w:val="21"/>
                <w:szCs w:val="21"/>
              </w:rPr>
              <w:t>2</w:t>
            </w:r>
            <w:r>
              <w:rPr>
                <w:noProof/>
                <w:webHidden/>
                <w:sz w:val="21"/>
                <w:szCs w:val="21"/>
              </w:rPr>
              <w:fldChar w:fldCharType="end"/>
            </w:r>
          </w:hyperlink>
        </w:p>
        <w:p>
          <w:pPr>
            <w:pStyle w:val="TDC1"/>
            <w:spacing w:line="240" w:lineRule="auto"/>
            <w:rPr>
              <w:rFonts w:eastAsiaTheme="minorEastAsia"/>
              <w:noProof/>
              <w:sz w:val="21"/>
              <w:szCs w:val="21"/>
              <w:lang w:val="es-MX" w:eastAsia="es-MX"/>
            </w:rPr>
          </w:pPr>
          <w:hyperlink w:anchor="_Toc121749423" w:history="1">
            <w:r>
              <w:rPr>
                <w:rStyle w:val="Hipervnculo"/>
                <w:rFonts w:ascii="Arial" w:hAnsi="Arial" w:cs="Arial"/>
                <w:i/>
                <w:noProof/>
                <w:sz w:val="21"/>
                <w:szCs w:val="21"/>
                <w:lang w:val="es-MX" w:eastAsia="es-AR"/>
              </w:rPr>
              <w:t>2.</w:t>
            </w:r>
            <w:r>
              <w:rPr>
                <w:rFonts w:eastAsiaTheme="minorEastAsia"/>
                <w:noProof/>
                <w:sz w:val="21"/>
                <w:szCs w:val="21"/>
                <w:lang w:val="es-MX" w:eastAsia="es-MX"/>
              </w:rPr>
              <w:tab/>
            </w:r>
            <w:r>
              <w:rPr>
                <w:rStyle w:val="Hipervnculo"/>
                <w:rFonts w:ascii="Arial" w:hAnsi="Arial" w:cs="Arial"/>
                <w:i/>
                <w:noProof/>
                <w:sz w:val="21"/>
                <w:szCs w:val="21"/>
                <w:lang w:val="es-MX" w:eastAsia="es-AR"/>
              </w:rPr>
              <w:t>IDENTIFICACIÓN, DEFINICIÓN Y DESCRIPCIÓN DEL PROBLEMA O NECESIDAD</w:t>
            </w:r>
            <w:r>
              <w:rPr>
                <w:noProof/>
                <w:webHidden/>
                <w:sz w:val="21"/>
                <w:szCs w:val="21"/>
              </w:rPr>
              <w:tab/>
            </w:r>
            <w:r>
              <w:rPr>
                <w:noProof/>
                <w:webHidden/>
                <w:sz w:val="21"/>
                <w:szCs w:val="21"/>
              </w:rPr>
              <w:fldChar w:fldCharType="begin"/>
            </w:r>
            <w:r>
              <w:rPr>
                <w:noProof/>
                <w:webHidden/>
                <w:sz w:val="21"/>
                <w:szCs w:val="21"/>
              </w:rPr>
              <w:instrText xml:space="preserve"> PAGEREF _Toc121749423 \h </w:instrText>
            </w:r>
            <w:r>
              <w:rPr>
                <w:noProof/>
                <w:webHidden/>
                <w:sz w:val="21"/>
                <w:szCs w:val="21"/>
              </w:rPr>
            </w:r>
            <w:r>
              <w:rPr>
                <w:noProof/>
                <w:webHidden/>
                <w:sz w:val="21"/>
                <w:szCs w:val="21"/>
              </w:rPr>
              <w:fldChar w:fldCharType="separate"/>
            </w:r>
            <w:r>
              <w:rPr>
                <w:noProof/>
                <w:webHidden/>
                <w:sz w:val="21"/>
                <w:szCs w:val="21"/>
              </w:rPr>
              <w:t>3</w:t>
            </w:r>
            <w:r>
              <w:rPr>
                <w:noProof/>
                <w:webHidden/>
                <w:sz w:val="21"/>
                <w:szCs w:val="21"/>
              </w:rPr>
              <w:fldChar w:fldCharType="end"/>
            </w:r>
          </w:hyperlink>
        </w:p>
        <w:p>
          <w:pPr>
            <w:pStyle w:val="TDC2"/>
            <w:rPr>
              <w:rFonts w:eastAsiaTheme="minorEastAsia"/>
              <w:noProof/>
              <w:lang w:val="es-MX" w:eastAsia="es-MX"/>
            </w:rPr>
          </w:pPr>
          <w:hyperlink w:anchor="_Toc121749424" w:history="1">
            <w:r>
              <w:rPr>
                <w:rStyle w:val="Hipervnculo"/>
                <w:rFonts w:ascii="Arial" w:hAnsi="Arial" w:cs="Arial"/>
                <w:noProof/>
                <w:sz w:val="21"/>
                <w:szCs w:val="21"/>
              </w:rPr>
              <w:t>2.1.</w:t>
            </w:r>
            <w:r>
              <w:rPr>
                <w:rFonts w:eastAsiaTheme="minorEastAsia"/>
                <w:noProof/>
                <w:lang w:val="es-MX" w:eastAsia="es-MX"/>
              </w:rPr>
              <w:tab/>
            </w:r>
            <w:r>
              <w:rPr>
                <w:rStyle w:val="Hipervnculo"/>
                <w:rFonts w:ascii="Arial" w:hAnsi="Arial" w:cs="Arial"/>
                <w:noProof/>
                <w:sz w:val="21"/>
                <w:szCs w:val="21"/>
              </w:rPr>
              <w:t>Definición del problema</w:t>
            </w:r>
            <w:r>
              <w:rPr>
                <w:noProof/>
                <w:webHidden/>
              </w:rPr>
              <w:tab/>
            </w:r>
            <w:r>
              <w:rPr>
                <w:noProof/>
                <w:webHidden/>
              </w:rPr>
              <w:fldChar w:fldCharType="begin"/>
            </w:r>
            <w:r>
              <w:rPr>
                <w:noProof/>
                <w:webHidden/>
              </w:rPr>
              <w:instrText xml:space="preserve"> PAGEREF _Toc121749424 \h </w:instrText>
            </w:r>
            <w:r>
              <w:rPr>
                <w:noProof/>
                <w:webHidden/>
              </w:rPr>
            </w:r>
            <w:r>
              <w:rPr>
                <w:noProof/>
                <w:webHidden/>
              </w:rPr>
              <w:fldChar w:fldCharType="separate"/>
            </w:r>
            <w:r>
              <w:rPr>
                <w:noProof/>
                <w:webHidden/>
              </w:rPr>
              <w:t>3</w:t>
            </w:r>
            <w:r>
              <w:rPr>
                <w:noProof/>
                <w:webHidden/>
              </w:rPr>
              <w:fldChar w:fldCharType="end"/>
            </w:r>
          </w:hyperlink>
        </w:p>
        <w:p>
          <w:pPr>
            <w:pStyle w:val="TDC2"/>
            <w:rPr>
              <w:rFonts w:eastAsiaTheme="minorEastAsia"/>
              <w:noProof/>
              <w:lang w:val="es-MX" w:eastAsia="es-MX"/>
            </w:rPr>
          </w:pPr>
          <w:hyperlink w:anchor="_Toc121749425" w:history="1">
            <w:r>
              <w:rPr>
                <w:rStyle w:val="Hipervnculo"/>
                <w:rFonts w:ascii="Arial" w:hAnsi="Arial" w:cs="Arial"/>
                <w:noProof/>
                <w:sz w:val="21"/>
                <w:szCs w:val="21"/>
              </w:rPr>
              <w:t>2.2.</w:t>
            </w:r>
            <w:r>
              <w:rPr>
                <w:rFonts w:eastAsiaTheme="minorEastAsia"/>
                <w:noProof/>
                <w:lang w:val="es-MX" w:eastAsia="es-MX"/>
              </w:rPr>
              <w:tab/>
            </w:r>
            <w:r>
              <w:rPr>
                <w:rStyle w:val="Hipervnculo"/>
                <w:rFonts w:ascii="Arial" w:hAnsi="Arial" w:cs="Arial"/>
                <w:noProof/>
                <w:sz w:val="21"/>
                <w:szCs w:val="21"/>
              </w:rPr>
              <w:t>Estado actual del problema</w:t>
            </w:r>
            <w:r>
              <w:rPr>
                <w:noProof/>
                <w:webHidden/>
              </w:rPr>
              <w:tab/>
            </w:r>
            <w:r>
              <w:rPr>
                <w:noProof/>
                <w:webHidden/>
              </w:rPr>
              <w:fldChar w:fldCharType="begin"/>
            </w:r>
            <w:r>
              <w:rPr>
                <w:noProof/>
                <w:webHidden/>
              </w:rPr>
              <w:instrText xml:space="preserve"> PAGEREF _Toc121749425 \h </w:instrText>
            </w:r>
            <w:r>
              <w:rPr>
                <w:noProof/>
                <w:webHidden/>
              </w:rPr>
            </w:r>
            <w:r>
              <w:rPr>
                <w:noProof/>
                <w:webHidden/>
              </w:rPr>
              <w:fldChar w:fldCharType="separate"/>
            </w:r>
            <w:r>
              <w:rPr>
                <w:noProof/>
                <w:webHidden/>
              </w:rPr>
              <w:t>3</w:t>
            </w:r>
            <w:r>
              <w:rPr>
                <w:noProof/>
                <w:webHidden/>
              </w:rPr>
              <w:fldChar w:fldCharType="end"/>
            </w:r>
          </w:hyperlink>
        </w:p>
        <w:p>
          <w:pPr>
            <w:pStyle w:val="TDC2"/>
            <w:rPr>
              <w:rFonts w:eastAsiaTheme="minorEastAsia"/>
              <w:noProof/>
              <w:lang w:val="es-MX" w:eastAsia="es-MX"/>
            </w:rPr>
          </w:pPr>
          <w:hyperlink w:anchor="_Toc121749426" w:history="1">
            <w:r>
              <w:rPr>
                <w:rStyle w:val="Hipervnculo"/>
                <w:rFonts w:ascii="Arial" w:hAnsi="Arial" w:cs="Arial"/>
                <w:noProof/>
                <w:sz w:val="21"/>
                <w:szCs w:val="21"/>
              </w:rPr>
              <w:t>2.3.</w:t>
            </w:r>
            <w:r>
              <w:rPr>
                <w:rFonts w:eastAsiaTheme="minorEastAsia"/>
                <w:noProof/>
                <w:lang w:val="es-MX" w:eastAsia="es-MX"/>
              </w:rPr>
              <w:tab/>
            </w:r>
            <w:r>
              <w:rPr>
                <w:rStyle w:val="Hipervnculo"/>
                <w:rFonts w:ascii="Arial" w:hAnsi="Arial" w:cs="Arial"/>
                <w:noProof/>
                <w:sz w:val="21"/>
                <w:szCs w:val="21"/>
              </w:rPr>
              <w:t>Evolución del problema</w:t>
            </w:r>
            <w:r>
              <w:rPr>
                <w:noProof/>
                <w:webHidden/>
              </w:rPr>
              <w:tab/>
            </w:r>
            <w:r>
              <w:rPr>
                <w:noProof/>
                <w:webHidden/>
              </w:rPr>
              <w:fldChar w:fldCharType="begin"/>
            </w:r>
            <w:r>
              <w:rPr>
                <w:noProof/>
                <w:webHidden/>
              </w:rPr>
              <w:instrText xml:space="preserve"> PAGEREF _Toc121749426 \h </w:instrText>
            </w:r>
            <w:r>
              <w:rPr>
                <w:noProof/>
                <w:webHidden/>
              </w:rPr>
            </w:r>
            <w:r>
              <w:rPr>
                <w:noProof/>
                <w:webHidden/>
              </w:rPr>
              <w:fldChar w:fldCharType="separate"/>
            </w:r>
            <w:r>
              <w:rPr>
                <w:noProof/>
                <w:webHidden/>
              </w:rPr>
              <w:t>9</w:t>
            </w:r>
            <w:r>
              <w:rPr>
                <w:noProof/>
                <w:webHidden/>
              </w:rPr>
              <w:fldChar w:fldCharType="end"/>
            </w:r>
          </w:hyperlink>
        </w:p>
        <w:p>
          <w:pPr>
            <w:pStyle w:val="TDC2"/>
            <w:rPr>
              <w:rFonts w:eastAsiaTheme="minorEastAsia"/>
              <w:noProof/>
              <w:lang w:val="es-MX" w:eastAsia="es-MX"/>
            </w:rPr>
          </w:pPr>
          <w:hyperlink w:anchor="_Toc121749427" w:history="1">
            <w:r>
              <w:rPr>
                <w:rStyle w:val="Hipervnculo"/>
                <w:rFonts w:ascii="Arial" w:hAnsi="Arial" w:cs="Arial"/>
                <w:noProof/>
                <w:sz w:val="21"/>
                <w:szCs w:val="21"/>
              </w:rPr>
              <w:t>2.4.</w:t>
            </w:r>
            <w:r>
              <w:rPr>
                <w:rFonts w:eastAsiaTheme="minorEastAsia"/>
                <w:noProof/>
                <w:lang w:val="es-MX" w:eastAsia="es-MX"/>
              </w:rPr>
              <w:tab/>
            </w:r>
            <w:r>
              <w:rPr>
                <w:rStyle w:val="Hipervnculo"/>
                <w:rFonts w:ascii="Arial" w:hAnsi="Arial" w:cs="Arial"/>
                <w:noProof/>
                <w:sz w:val="21"/>
                <w:szCs w:val="21"/>
              </w:rPr>
              <w:t>Experiencias de atención</w:t>
            </w:r>
            <w:r>
              <w:rPr>
                <w:noProof/>
                <w:webHidden/>
              </w:rPr>
              <w:tab/>
            </w:r>
            <w:r>
              <w:rPr>
                <w:noProof/>
                <w:webHidden/>
              </w:rPr>
              <w:fldChar w:fldCharType="begin"/>
            </w:r>
            <w:r>
              <w:rPr>
                <w:noProof/>
                <w:webHidden/>
              </w:rPr>
              <w:instrText xml:space="preserve"> PAGEREF _Toc121749427 \h </w:instrText>
            </w:r>
            <w:r>
              <w:rPr>
                <w:noProof/>
                <w:webHidden/>
              </w:rPr>
            </w:r>
            <w:r>
              <w:rPr>
                <w:noProof/>
                <w:webHidden/>
              </w:rPr>
              <w:fldChar w:fldCharType="separate"/>
            </w:r>
            <w:r>
              <w:rPr>
                <w:noProof/>
                <w:webHidden/>
              </w:rPr>
              <w:t>11</w:t>
            </w:r>
            <w:r>
              <w:rPr>
                <w:noProof/>
                <w:webHidden/>
              </w:rPr>
              <w:fldChar w:fldCharType="end"/>
            </w:r>
          </w:hyperlink>
        </w:p>
        <w:p>
          <w:pPr>
            <w:pStyle w:val="TDC2"/>
            <w:rPr>
              <w:rFonts w:eastAsiaTheme="minorEastAsia"/>
              <w:noProof/>
              <w:lang w:val="es-MX" w:eastAsia="es-MX"/>
            </w:rPr>
          </w:pPr>
          <w:hyperlink w:anchor="_Toc121749428" w:history="1">
            <w:r>
              <w:rPr>
                <w:rStyle w:val="Hipervnculo"/>
                <w:rFonts w:ascii="Arial" w:hAnsi="Arial" w:cs="Arial"/>
                <w:noProof/>
                <w:sz w:val="21"/>
                <w:szCs w:val="21"/>
              </w:rPr>
              <w:t>2.5.</w:t>
            </w:r>
            <w:r>
              <w:rPr>
                <w:rFonts w:eastAsiaTheme="minorEastAsia"/>
                <w:noProof/>
                <w:lang w:val="es-MX" w:eastAsia="es-MX"/>
              </w:rPr>
              <w:tab/>
            </w:r>
            <w:r>
              <w:rPr>
                <w:rStyle w:val="Hipervnculo"/>
                <w:rFonts w:ascii="Arial" w:hAnsi="Arial" w:cs="Arial"/>
                <w:noProof/>
                <w:sz w:val="21"/>
                <w:szCs w:val="21"/>
              </w:rPr>
              <w:t>Árbol del problema</w:t>
            </w:r>
            <w:r>
              <w:rPr>
                <w:noProof/>
                <w:webHidden/>
              </w:rPr>
              <w:tab/>
            </w:r>
            <w:r>
              <w:rPr>
                <w:noProof/>
                <w:webHidden/>
              </w:rPr>
              <w:fldChar w:fldCharType="begin"/>
            </w:r>
            <w:r>
              <w:rPr>
                <w:noProof/>
                <w:webHidden/>
              </w:rPr>
              <w:instrText xml:space="preserve"> PAGEREF _Toc121749428 \h </w:instrText>
            </w:r>
            <w:r>
              <w:rPr>
                <w:noProof/>
                <w:webHidden/>
              </w:rPr>
            </w:r>
            <w:r>
              <w:rPr>
                <w:noProof/>
                <w:webHidden/>
              </w:rPr>
              <w:fldChar w:fldCharType="separate"/>
            </w:r>
            <w:r>
              <w:rPr>
                <w:noProof/>
                <w:webHidden/>
              </w:rPr>
              <w:t>11</w:t>
            </w:r>
            <w:r>
              <w:rPr>
                <w:noProof/>
                <w:webHidden/>
              </w:rPr>
              <w:fldChar w:fldCharType="end"/>
            </w:r>
          </w:hyperlink>
        </w:p>
        <w:p>
          <w:pPr>
            <w:pStyle w:val="TDC2"/>
            <w:rPr>
              <w:rFonts w:eastAsiaTheme="minorEastAsia"/>
              <w:noProof/>
              <w:lang w:val="es-MX" w:eastAsia="es-MX"/>
            </w:rPr>
          </w:pPr>
          <w:hyperlink w:anchor="_Toc121749429" w:history="1">
            <w:r>
              <w:rPr>
                <w:rStyle w:val="Hipervnculo"/>
                <w:rFonts w:ascii="Arial" w:hAnsi="Arial" w:cs="Arial"/>
                <w:noProof/>
                <w:sz w:val="21"/>
                <w:szCs w:val="21"/>
              </w:rPr>
              <w:t>2.5.1 Causas del Problema:</w:t>
            </w:r>
            <w:r>
              <w:rPr>
                <w:noProof/>
                <w:webHidden/>
              </w:rPr>
              <w:tab/>
            </w:r>
            <w:r>
              <w:rPr>
                <w:noProof/>
                <w:webHidden/>
              </w:rPr>
              <w:fldChar w:fldCharType="begin"/>
            </w:r>
            <w:r>
              <w:rPr>
                <w:noProof/>
                <w:webHidden/>
              </w:rPr>
              <w:instrText xml:space="preserve"> PAGEREF _Toc121749429 \h </w:instrText>
            </w:r>
            <w:r>
              <w:rPr>
                <w:noProof/>
                <w:webHidden/>
              </w:rPr>
            </w:r>
            <w:r>
              <w:rPr>
                <w:noProof/>
                <w:webHidden/>
              </w:rPr>
              <w:fldChar w:fldCharType="separate"/>
            </w:r>
            <w:r>
              <w:rPr>
                <w:noProof/>
                <w:webHidden/>
              </w:rPr>
              <w:t>11</w:t>
            </w:r>
            <w:r>
              <w:rPr>
                <w:noProof/>
                <w:webHidden/>
              </w:rPr>
              <w:fldChar w:fldCharType="end"/>
            </w:r>
          </w:hyperlink>
        </w:p>
        <w:p>
          <w:pPr>
            <w:pStyle w:val="TDC1"/>
            <w:spacing w:line="240" w:lineRule="auto"/>
            <w:rPr>
              <w:rFonts w:eastAsiaTheme="minorEastAsia"/>
              <w:noProof/>
              <w:sz w:val="21"/>
              <w:szCs w:val="21"/>
              <w:lang w:val="es-MX" w:eastAsia="es-MX"/>
            </w:rPr>
          </w:pPr>
          <w:hyperlink w:anchor="_Toc121749430" w:history="1">
            <w:r>
              <w:rPr>
                <w:rStyle w:val="Hipervnculo"/>
                <w:rFonts w:ascii="Arial" w:hAnsi="Arial" w:cs="Arial"/>
                <w:i/>
                <w:noProof/>
                <w:sz w:val="21"/>
                <w:szCs w:val="21"/>
              </w:rPr>
              <w:t>3.</w:t>
            </w:r>
            <w:r>
              <w:rPr>
                <w:rFonts w:eastAsiaTheme="minorEastAsia"/>
                <w:noProof/>
                <w:sz w:val="21"/>
                <w:szCs w:val="21"/>
                <w:lang w:val="es-MX" w:eastAsia="es-MX"/>
              </w:rPr>
              <w:tab/>
            </w:r>
            <w:r>
              <w:rPr>
                <w:rStyle w:val="Hipervnculo"/>
                <w:rFonts w:ascii="Arial" w:hAnsi="Arial" w:cs="Arial"/>
                <w:i/>
                <w:noProof/>
                <w:sz w:val="21"/>
                <w:szCs w:val="21"/>
                <w:lang w:val="es-MX" w:eastAsia="es-AR"/>
              </w:rPr>
              <w:t>OBJETIVOS</w:t>
            </w:r>
            <w:r>
              <w:rPr>
                <w:noProof/>
                <w:webHidden/>
                <w:sz w:val="21"/>
                <w:szCs w:val="21"/>
              </w:rPr>
              <w:tab/>
            </w:r>
            <w:r>
              <w:rPr>
                <w:noProof/>
                <w:webHidden/>
                <w:sz w:val="21"/>
                <w:szCs w:val="21"/>
              </w:rPr>
              <w:fldChar w:fldCharType="begin"/>
            </w:r>
            <w:r>
              <w:rPr>
                <w:noProof/>
                <w:webHidden/>
                <w:sz w:val="21"/>
                <w:szCs w:val="21"/>
              </w:rPr>
              <w:instrText xml:space="preserve"> PAGEREF _Toc121749430 \h </w:instrText>
            </w:r>
            <w:r>
              <w:rPr>
                <w:noProof/>
                <w:webHidden/>
                <w:sz w:val="21"/>
                <w:szCs w:val="21"/>
              </w:rPr>
            </w:r>
            <w:r>
              <w:rPr>
                <w:noProof/>
                <w:webHidden/>
                <w:sz w:val="21"/>
                <w:szCs w:val="21"/>
              </w:rPr>
              <w:fldChar w:fldCharType="separate"/>
            </w:r>
            <w:r>
              <w:rPr>
                <w:noProof/>
                <w:webHidden/>
                <w:sz w:val="21"/>
                <w:szCs w:val="21"/>
              </w:rPr>
              <w:t>12</w:t>
            </w:r>
            <w:r>
              <w:rPr>
                <w:noProof/>
                <w:webHidden/>
                <w:sz w:val="21"/>
                <w:szCs w:val="21"/>
              </w:rPr>
              <w:fldChar w:fldCharType="end"/>
            </w:r>
          </w:hyperlink>
        </w:p>
        <w:p>
          <w:pPr>
            <w:pStyle w:val="TDC2"/>
            <w:rPr>
              <w:rFonts w:eastAsiaTheme="minorEastAsia"/>
              <w:noProof/>
              <w:lang w:val="es-MX" w:eastAsia="es-MX"/>
            </w:rPr>
          </w:pPr>
          <w:hyperlink w:anchor="_Toc121749431" w:history="1">
            <w:r>
              <w:rPr>
                <w:rStyle w:val="Hipervnculo"/>
                <w:rFonts w:ascii="Arial" w:hAnsi="Arial" w:cs="Arial"/>
                <w:noProof/>
                <w:sz w:val="21"/>
                <w:szCs w:val="21"/>
              </w:rPr>
              <w:t>3.1.</w:t>
            </w:r>
            <w:r>
              <w:rPr>
                <w:rFonts w:eastAsiaTheme="minorEastAsia"/>
                <w:noProof/>
                <w:lang w:val="es-MX" w:eastAsia="es-MX"/>
              </w:rPr>
              <w:tab/>
            </w:r>
            <w:r>
              <w:rPr>
                <w:rStyle w:val="Hipervnculo"/>
                <w:rFonts w:ascii="Arial" w:hAnsi="Arial" w:cs="Arial"/>
                <w:noProof/>
                <w:sz w:val="21"/>
                <w:szCs w:val="21"/>
              </w:rPr>
              <w:t>Árbol de objetivos</w:t>
            </w:r>
            <w:r>
              <w:rPr>
                <w:noProof/>
                <w:webHidden/>
              </w:rPr>
              <w:tab/>
            </w:r>
            <w:r>
              <w:rPr>
                <w:noProof/>
                <w:webHidden/>
              </w:rPr>
              <w:fldChar w:fldCharType="begin"/>
            </w:r>
            <w:r>
              <w:rPr>
                <w:noProof/>
                <w:webHidden/>
              </w:rPr>
              <w:instrText xml:space="preserve"> PAGEREF _Toc121749431 \h </w:instrText>
            </w:r>
            <w:r>
              <w:rPr>
                <w:noProof/>
                <w:webHidden/>
              </w:rPr>
            </w:r>
            <w:r>
              <w:rPr>
                <w:noProof/>
                <w:webHidden/>
              </w:rPr>
              <w:fldChar w:fldCharType="separate"/>
            </w:r>
            <w:r>
              <w:rPr>
                <w:noProof/>
                <w:webHidden/>
              </w:rPr>
              <w:t>12</w:t>
            </w:r>
            <w:r>
              <w:rPr>
                <w:noProof/>
                <w:webHidden/>
              </w:rPr>
              <w:fldChar w:fldCharType="end"/>
            </w:r>
          </w:hyperlink>
        </w:p>
        <w:p>
          <w:pPr>
            <w:pStyle w:val="TDC2"/>
            <w:rPr>
              <w:rFonts w:eastAsiaTheme="minorEastAsia"/>
              <w:noProof/>
              <w:lang w:val="es-MX" w:eastAsia="es-MX"/>
            </w:rPr>
          </w:pPr>
          <w:hyperlink w:anchor="_Toc121749432" w:history="1">
            <w:r>
              <w:rPr>
                <w:rStyle w:val="Hipervnculo"/>
                <w:rFonts w:ascii="Arial" w:hAnsi="Arial" w:cs="Arial"/>
                <w:noProof/>
                <w:sz w:val="21"/>
                <w:szCs w:val="21"/>
              </w:rPr>
              <w:t>3.2.</w:t>
            </w:r>
            <w:r>
              <w:rPr>
                <w:rFonts w:eastAsiaTheme="minorEastAsia"/>
                <w:noProof/>
                <w:lang w:val="es-MX" w:eastAsia="es-MX"/>
              </w:rPr>
              <w:tab/>
            </w:r>
            <w:r>
              <w:rPr>
                <w:rStyle w:val="Hipervnculo"/>
                <w:rFonts w:ascii="Arial" w:hAnsi="Arial" w:cs="Arial"/>
                <w:noProof/>
                <w:sz w:val="21"/>
                <w:szCs w:val="21"/>
              </w:rPr>
              <w:t>Determinación de los objetivos del problema</w:t>
            </w:r>
            <w:r>
              <w:rPr>
                <w:noProof/>
                <w:webHidden/>
              </w:rPr>
              <w:tab/>
            </w:r>
            <w:r>
              <w:rPr>
                <w:noProof/>
                <w:webHidden/>
              </w:rPr>
              <w:fldChar w:fldCharType="begin"/>
            </w:r>
            <w:r>
              <w:rPr>
                <w:noProof/>
                <w:webHidden/>
              </w:rPr>
              <w:instrText xml:space="preserve"> PAGEREF _Toc121749432 \h </w:instrText>
            </w:r>
            <w:r>
              <w:rPr>
                <w:noProof/>
                <w:webHidden/>
              </w:rPr>
            </w:r>
            <w:r>
              <w:rPr>
                <w:noProof/>
                <w:webHidden/>
              </w:rPr>
              <w:fldChar w:fldCharType="separate"/>
            </w:r>
            <w:r>
              <w:rPr>
                <w:noProof/>
                <w:webHidden/>
              </w:rPr>
              <w:t>14</w:t>
            </w:r>
            <w:r>
              <w:rPr>
                <w:noProof/>
                <w:webHidden/>
              </w:rPr>
              <w:fldChar w:fldCharType="end"/>
            </w:r>
          </w:hyperlink>
        </w:p>
        <w:p>
          <w:pPr>
            <w:pStyle w:val="TDC2"/>
            <w:rPr>
              <w:rFonts w:eastAsiaTheme="minorEastAsia"/>
              <w:noProof/>
              <w:lang w:val="es-MX" w:eastAsia="es-MX"/>
            </w:rPr>
          </w:pPr>
          <w:hyperlink w:anchor="_Toc121749433" w:history="1">
            <w:r>
              <w:rPr>
                <w:rStyle w:val="Hipervnculo"/>
                <w:rFonts w:ascii="Arial" w:hAnsi="Arial" w:cs="Arial"/>
                <w:noProof/>
                <w:sz w:val="21"/>
                <w:szCs w:val="21"/>
              </w:rPr>
              <w:t>3.2.1 Objetivo General</w:t>
            </w:r>
            <w:r>
              <w:rPr>
                <w:noProof/>
                <w:webHidden/>
              </w:rPr>
              <w:tab/>
            </w:r>
            <w:r>
              <w:rPr>
                <w:noProof/>
                <w:webHidden/>
              </w:rPr>
              <w:fldChar w:fldCharType="begin"/>
            </w:r>
            <w:r>
              <w:rPr>
                <w:noProof/>
                <w:webHidden/>
              </w:rPr>
              <w:instrText xml:space="preserve"> PAGEREF _Toc121749433 \h </w:instrText>
            </w:r>
            <w:r>
              <w:rPr>
                <w:noProof/>
                <w:webHidden/>
              </w:rPr>
            </w:r>
            <w:r>
              <w:rPr>
                <w:noProof/>
                <w:webHidden/>
              </w:rPr>
              <w:fldChar w:fldCharType="separate"/>
            </w:r>
            <w:r>
              <w:rPr>
                <w:noProof/>
                <w:webHidden/>
              </w:rPr>
              <w:t>14</w:t>
            </w:r>
            <w:r>
              <w:rPr>
                <w:noProof/>
                <w:webHidden/>
              </w:rPr>
              <w:fldChar w:fldCharType="end"/>
            </w:r>
          </w:hyperlink>
        </w:p>
        <w:p>
          <w:pPr>
            <w:pStyle w:val="TDC2"/>
            <w:rPr>
              <w:rFonts w:eastAsiaTheme="minorEastAsia"/>
              <w:noProof/>
              <w:lang w:val="es-MX" w:eastAsia="es-MX"/>
            </w:rPr>
          </w:pPr>
          <w:hyperlink w:anchor="_Toc121749434" w:history="1">
            <w:r>
              <w:rPr>
                <w:rStyle w:val="Hipervnculo"/>
                <w:rFonts w:ascii="Arial" w:hAnsi="Arial" w:cs="Arial"/>
                <w:noProof/>
                <w:sz w:val="21"/>
                <w:szCs w:val="21"/>
              </w:rPr>
              <w:t>3.2.2 Objetivos Específicos</w:t>
            </w:r>
            <w:r>
              <w:rPr>
                <w:noProof/>
                <w:webHidden/>
              </w:rPr>
              <w:tab/>
            </w:r>
            <w:r>
              <w:rPr>
                <w:noProof/>
                <w:webHidden/>
              </w:rPr>
              <w:fldChar w:fldCharType="begin"/>
            </w:r>
            <w:r>
              <w:rPr>
                <w:noProof/>
                <w:webHidden/>
              </w:rPr>
              <w:instrText xml:space="preserve"> PAGEREF _Toc121749434 \h </w:instrText>
            </w:r>
            <w:r>
              <w:rPr>
                <w:noProof/>
                <w:webHidden/>
              </w:rPr>
            </w:r>
            <w:r>
              <w:rPr>
                <w:noProof/>
                <w:webHidden/>
              </w:rPr>
              <w:fldChar w:fldCharType="separate"/>
            </w:r>
            <w:r>
              <w:rPr>
                <w:noProof/>
                <w:webHidden/>
              </w:rPr>
              <w:t>14</w:t>
            </w:r>
            <w:r>
              <w:rPr>
                <w:noProof/>
                <w:webHidden/>
              </w:rPr>
              <w:fldChar w:fldCharType="end"/>
            </w:r>
          </w:hyperlink>
        </w:p>
        <w:p>
          <w:pPr>
            <w:pStyle w:val="TDC2"/>
            <w:rPr>
              <w:rFonts w:eastAsiaTheme="minorEastAsia"/>
              <w:noProof/>
              <w:lang w:val="es-MX" w:eastAsia="es-MX"/>
            </w:rPr>
          </w:pPr>
          <w:hyperlink w:anchor="_Toc121749435" w:history="1">
            <w:r>
              <w:rPr>
                <w:rStyle w:val="Hipervnculo"/>
                <w:rFonts w:ascii="Arial" w:hAnsi="Arial" w:cs="Arial"/>
                <w:noProof/>
                <w:sz w:val="21"/>
                <w:szCs w:val="21"/>
              </w:rPr>
              <w:t>3.3.</w:t>
            </w:r>
            <w:r>
              <w:rPr>
                <w:rFonts w:eastAsiaTheme="minorEastAsia"/>
                <w:noProof/>
                <w:lang w:val="es-MX" w:eastAsia="es-MX"/>
              </w:rPr>
              <w:tab/>
            </w:r>
            <w:r>
              <w:rPr>
                <w:rStyle w:val="Hipervnculo"/>
                <w:rFonts w:ascii="Arial" w:hAnsi="Arial" w:cs="Arial"/>
                <w:noProof/>
                <w:sz w:val="21"/>
                <w:szCs w:val="21"/>
              </w:rPr>
              <w:t>Aportación del programa a los objetivos del Plan Estatal de Desarrollo, así como, Plan Nacional de Desarrollo, y finalmente a los Objetivos de Desarrollo Sostenible (Agenda 2030)</w:t>
            </w:r>
            <w:r>
              <w:rPr>
                <w:noProof/>
                <w:webHidden/>
              </w:rPr>
              <w:tab/>
            </w:r>
            <w:r>
              <w:rPr>
                <w:noProof/>
                <w:webHidden/>
              </w:rPr>
              <w:fldChar w:fldCharType="begin"/>
            </w:r>
            <w:r>
              <w:rPr>
                <w:noProof/>
                <w:webHidden/>
              </w:rPr>
              <w:instrText xml:space="preserve"> PAGEREF _Toc121749435 \h </w:instrText>
            </w:r>
            <w:r>
              <w:rPr>
                <w:noProof/>
                <w:webHidden/>
              </w:rPr>
            </w:r>
            <w:r>
              <w:rPr>
                <w:noProof/>
                <w:webHidden/>
              </w:rPr>
              <w:fldChar w:fldCharType="separate"/>
            </w:r>
            <w:r>
              <w:rPr>
                <w:noProof/>
                <w:webHidden/>
              </w:rPr>
              <w:t>14</w:t>
            </w:r>
            <w:r>
              <w:rPr>
                <w:noProof/>
                <w:webHidden/>
              </w:rPr>
              <w:fldChar w:fldCharType="end"/>
            </w:r>
          </w:hyperlink>
        </w:p>
        <w:p>
          <w:pPr>
            <w:pStyle w:val="TDC1"/>
            <w:spacing w:line="240" w:lineRule="auto"/>
            <w:rPr>
              <w:rFonts w:eastAsiaTheme="minorEastAsia"/>
              <w:noProof/>
              <w:sz w:val="21"/>
              <w:szCs w:val="21"/>
              <w:lang w:val="es-MX" w:eastAsia="es-MX"/>
            </w:rPr>
          </w:pPr>
          <w:hyperlink w:anchor="_Toc121749436" w:history="1">
            <w:r>
              <w:rPr>
                <w:rStyle w:val="Hipervnculo"/>
                <w:rFonts w:ascii="Arial" w:hAnsi="Arial" w:cs="Arial"/>
                <w:i/>
                <w:noProof/>
                <w:sz w:val="21"/>
                <w:szCs w:val="21"/>
              </w:rPr>
              <w:t>4.</w:t>
            </w:r>
            <w:r>
              <w:rPr>
                <w:rFonts w:eastAsiaTheme="minorEastAsia"/>
                <w:noProof/>
                <w:sz w:val="21"/>
                <w:szCs w:val="21"/>
                <w:lang w:val="es-MX" w:eastAsia="es-MX"/>
              </w:rPr>
              <w:tab/>
            </w:r>
            <w:r>
              <w:rPr>
                <w:rStyle w:val="Hipervnculo"/>
                <w:rFonts w:ascii="Arial" w:hAnsi="Arial" w:cs="Arial"/>
                <w:i/>
                <w:noProof/>
                <w:sz w:val="21"/>
                <w:szCs w:val="21"/>
              </w:rPr>
              <w:t>COBERTURA</w:t>
            </w:r>
            <w:r>
              <w:rPr>
                <w:noProof/>
                <w:webHidden/>
                <w:sz w:val="21"/>
                <w:szCs w:val="21"/>
              </w:rPr>
              <w:tab/>
            </w:r>
            <w:r>
              <w:rPr>
                <w:noProof/>
                <w:webHidden/>
                <w:sz w:val="21"/>
                <w:szCs w:val="21"/>
              </w:rPr>
              <w:fldChar w:fldCharType="begin"/>
            </w:r>
            <w:r>
              <w:rPr>
                <w:noProof/>
                <w:webHidden/>
                <w:sz w:val="21"/>
                <w:szCs w:val="21"/>
              </w:rPr>
              <w:instrText xml:space="preserve"> PAGEREF _Toc121749436 \h </w:instrText>
            </w:r>
            <w:r>
              <w:rPr>
                <w:noProof/>
                <w:webHidden/>
                <w:sz w:val="21"/>
                <w:szCs w:val="21"/>
              </w:rPr>
            </w:r>
            <w:r>
              <w:rPr>
                <w:noProof/>
                <w:webHidden/>
                <w:sz w:val="21"/>
                <w:szCs w:val="21"/>
              </w:rPr>
              <w:fldChar w:fldCharType="separate"/>
            </w:r>
            <w:r>
              <w:rPr>
                <w:noProof/>
                <w:webHidden/>
                <w:sz w:val="21"/>
                <w:szCs w:val="21"/>
              </w:rPr>
              <w:t>15</w:t>
            </w:r>
            <w:r>
              <w:rPr>
                <w:noProof/>
                <w:webHidden/>
                <w:sz w:val="21"/>
                <w:szCs w:val="21"/>
              </w:rPr>
              <w:fldChar w:fldCharType="end"/>
            </w:r>
          </w:hyperlink>
        </w:p>
        <w:p>
          <w:pPr>
            <w:pStyle w:val="TDC2"/>
            <w:rPr>
              <w:rFonts w:eastAsiaTheme="minorEastAsia"/>
              <w:noProof/>
              <w:lang w:val="es-MX" w:eastAsia="es-MX"/>
            </w:rPr>
          </w:pPr>
          <w:hyperlink w:anchor="_Toc121749437" w:history="1">
            <w:r>
              <w:rPr>
                <w:rStyle w:val="Hipervnculo"/>
                <w:rFonts w:ascii="Arial" w:hAnsi="Arial" w:cs="Arial"/>
                <w:noProof/>
                <w:sz w:val="21"/>
                <w:szCs w:val="21"/>
              </w:rPr>
              <w:t>4.1.</w:t>
            </w:r>
            <w:r>
              <w:rPr>
                <w:rFonts w:eastAsiaTheme="minorEastAsia"/>
                <w:noProof/>
                <w:lang w:val="es-MX" w:eastAsia="es-MX"/>
              </w:rPr>
              <w:tab/>
            </w:r>
            <w:r>
              <w:rPr>
                <w:rStyle w:val="Hipervnculo"/>
                <w:rFonts w:ascii="Arial" w:hAnsi="Arial" w:cs="Arial"/>
                <w:noProof/>
                <w:sz w:val="21"/>
                <w:szCs w:val="21"/>
              </w:rPr>
              <w:t>Identificación y caracterización de la población o área de enfoque potencial</w:t>
            </w:r>
            <w:r>
              <w:rPr>
                <w:noProof/>
                <w:webHidden/>
              </w:rPr>
              <w:tab/>
            </w:r>
            <w:r>
              <w:rPr>
                <w:noProof/>
                <w:webHidden/>
              </w:rPr>
              <w:fldChar w:fldCharType="begin"/>
            </w:r>
            <w:r>
              <w:rPr>
                <w:noProof/>
                <w:webHidden/>
              </w:rPr>
              <w:instrText xml:space="preserve"> PAGEREF _Toc121749437 \h </w:instrText>
            </w:r>
            <w:r>
              <w:rPr>
                <w:noProof/>
                <w:webHidden/>
              </w:rPr>
            </w:r>
            <w:r>
              <w:rPr>
                <w:noProof/>
                <w:webHidden/>
              </w:rPr>
              <w:fldChar w:fldCharType="separate"/>
            </w:r>
            <w:r>
              <w:rPr>
                <w:noProof/>
                <w:webHidden/>
              </w:rPr>
              <w:t>15</w:t>
            </w:r>
            <w:r>
              <w:rPr>
                <w:noProof/>
                <w:webHidden/>
              </w:rPr>
              <w:fldChar w:fldCharType="end"/>
            </w:r>
          </w:hyperlink>
        </w:p>
        <w:p>
          <w:pPr>
            <w:pStyle w:val="TDC2"/>
            <w:rPr>
              <w:rFonts w:eastAsiaTheme="minorEastAsia"/>
              <w:noProof/>
              <w:lang w:val="es-MX" w:eastAsia="es-MX"/>
            </w:rPr>
          </w:pPr>
          <w:hyperlink w:anchor="_Toc121749438" w:history="1">
            <w:r>
              <w:rPr>
                <w:rStyle w:val="Hipervnculo"/>
                <w:rFonts w:ascii="Arial" w:hAnsi="Arial" w:cs="Arial"/>
                <w:noProof/>
                <w:sz w:val="21"/>
                <w:szCs w:val="21"/>
              </w:rPr>
              <w:t>4.2.</w:t>
            </w:r>
            <w:r>
              <w:rPr>
                <w:rFonts w:eastAsiaTheme="minorEastAsia"/>
                <w:noProof/>
                <w:lang w:val="es-MX" w:eastAsia="es-MX"/>
              </w:rPr>
              <w:tab/>
            </w:r>
            <w:r>
              <w:rPr>
                <w:rStyle w:val="Hipervnculo"/>
                <w:rFonts w:ascii="Arial" w:hAnsi="Arial" w:cs="Arial"/>
                <w:noProof/>
                <w:sz w:val="21"/>
                <w:szCs w:val="21"/>
              </w:rPr>
              <w:t>Identificación y caracterización de la población o área de enfoque objetivo</w:t>
            </w:r>
            <w:r>
              <w:rPr>
                <w:noProof/>
                <w:webHidden/>
              </w:rPr>
              <w:tab/>
            </w:r>
            <w:r>
              <w:rPr>
                <w:noProof/>
                <w:webHidden/>
              </w:rPr>
              <w:fldChar w:fldCharType="begin"/>
            </w:r>
            <w:r>
              <w:rPr>
                <w:noProof/>
                <w:webHidden/>
              </w:rPr>
              <w:instrText xml:space="preserve"> PAGEREF _Toc121749438 \h </w:instrText>
            </w:r>
            <w:r>
              <w:rPr>
                <w:noProof/>
                <w:webHidden/>
              </w:rPr>
            </w:r>
            <w:r>
              <w:rPr>
                <w:noProof/>
                <w:webHidden/>
              </w:rPr>
              <w:fldChar w:fldCharType="separate"/>
            </w:r>
            <w:r>
              <w:rPr>
                <w:noProof/>
                <w:webHidden/>
              </w:rPr>
              <w:t>15</w:t>
            </w:r>
            <w:r>
              <w:rPr>
                <w:noProof/>
                <w:webHidden/>
              </w:rPr>
              <w:fldChar w:fldCharType="end"/>
            </w:r>
          </w:hyperlink>
        </w:p>
        <w:p>
          <w:pPr>
            <w:pStyle w:val="TDC2"/>
            <w:rPr>
              <w:rFonts w:eastAsiaTheme="minorEastAsia"/>
              <w:noProof/>
              <w:lang w:val="es-MX" w:eastAsia="es-MX"/>
            </w:rPr>
          </w:pPr>
          <w:hyperlink w:anchor="_Toc121749439" w:history="1">
            <w:r>
              <w:rPr>
                <w:rStyle w:val="Hipervnculo"/>
                <w:rFonts w:ascii="Arial" w:hAnsi="Arial" w:cs="Arial"/>
                <w:noProof/>
                <w:sz w:val="21"/>
                <w:szCs w:val="21"/>
              </w:rPr>
              <w:t>4.3.</w:t>
            </w:r>
            <w:r>
              <w:rPr>
                <w:rFonts w:eastAsiaTheme="minorEastAsia"/>
                <w:noProof/>
                <w:lang w:val="es-MX" w:eastAsia="es-MX"/>
              </w:rPr>
              <w:tab/>
            </w:r>
            <w:r>
              <w:rPr>
                <w:rStyle w:val="Hipervnculo"/>
                <w:rFonts w:ascii="Arial" w:hAnsi="Arial" w:cs="Arial"/>
                <w:noProof/>
                <w:sz w:val="21"/>
                <w:szCs w:val="21"/>
              </w:rPr>
              <w:t>Cuantificación de la población o área de enfoque objetivo</w:t>
            </w:r>
            <w:r>
              <w:rPr>
                <w:noProof/>
                <w:webHidden/>
              </w:rPr>
              <w:tab/>
            </w:r>
            <w:r>
              <w:rPr>
                <w:noProof/>
                <w:webHidden/>
              </w:rPr>
              <w:fldChar w:fldCharType="begin"/>
            </w:r>
            <w:r>
              <w:rPr>
                <w:noProof/>
                <w:webHidden/>
              </w:rPr>
              <w:instrText xml:space="preserve"> PAGEREF _Toc121749439 \h </w:instrText>
            </w:r>
            <w:r>
              <w:rPr>
                <w:noProof/>
                <w:webHidden/>
              </w:rPr>
            </w:r>
            <w:r>
              <w:rPr>
                <w:noProof/>
                <w:webHidden/>
              </w:rPr>
              <w:fldChar w:fldCharType="separate"/>
            </w:r>
            <w:r>
              <w:rPr>
                <w:noProof/>
                <w:webHidden/>
              </w:rPr>
              <w:t>16</w:t>
            </w:r>
            <w:r>
              <w:rPr>
                <w:noProof/>
                <w:webHidden/>
              </w:rPr>
              <w:fldChar w:fldCharType="end"/>
            </w:r>
          </w:hyperlink>
        </w:p>
        <w:p>
          <w:pPr>
            <w:pStyle w:val="TDC2"/>
            <w:rPr>
              <w:rFonts w:eastAsiaTheme="minorEastAsia"/>
              <w:noProof/>
              <w:lang w:val="es-MX" w:eastAsia="es-MX"/>
            </w:rPr>
          </w:pPr>
          <w:hyperlink w:anchor="_Toc121749440" w:history="1">
            <w:r>
              <w:rPr>
                <w:rStyle w:val="Hipervnculo"/>
                <w:rFonts w:ascii="Arial" w:hAnsi="Arial" w:cs="Arial"/>
                <w:noProof/>
                <w:sz w:val="21"/>
                <w:szCs w:val="21"/>
              </w:rPr>
              <w:t>4.4.</w:t>
            </w:r>
            <w:r>
              <w:rPr>
                <w:rFonts w:eastAsiaTheme="minorEastAsia"/>
                <w:noProof/>
                <w:lang w:val="es-MX" w:eastAsia="es-MX"/>
              </w:rPr>
              <w:tab/>
            </w:r>
            <w:r>
              <w:rPr>
                <w:rStyle w:val="Hipervnculo"/>
                <w:rFonts w:ascii="Arial" w:hAnsi="Arial" w:cs="Arial"/>
                <w:noProof/>
                <w:sz w:val="21"/>
                <w:szCs w:val="21"/>
              </w:rPr>
              <w:t>Frecuencia de actualización de la población o área de enfoque potencial y objetivo</w:t>
            </w:r>
            <w:r>
              <w:rPr>
                <w:noProof/>
                <w:webHidden/>
              </w:rPr>
              <w:tab/>
            </w:r>
            <w:r>
              <w:rPr>
                <w:noProof/>
                <w:webHidden/>
              </w:rPr>
              <w:fldChar w:fldCharType="begin"/>
            </w:r>
            <w:r>
              <w:rPr>
                <w:noProof/>
                <w:webHidden/>
              </w:rPr>
              <w:instrText xml:space="preserve"> PAGEREF _Toc121749440 \h </w:instrText>
            </w:r>
            <w:r>
              <w:rPr>
                <w:noProof/>
                <w:webHidden/>
              </w:rPr>
            </w:r>
            <w:r>
              <w:rPr>
                <w:noProof/>
                <w:webHidden/>
              </w:rPr>
              <w:fldChar w:fldCharType="separate"/>
            </w:r>
            <w:r>
              <w:rPr>
                <w:noProof/>
                <w:webHidden/>
              </w:rPr>
              <w:t>17</w:t>
            </w:r>
            <w:r>
              <w:rPr>
                <w:noProof/>
                <w:webHidden/>
              </w:rPr>
              <w:fldChar w:fldCharType="end"/>
            </w:r>
          </w:hyperlink>
        </w:p>
        <w:p>
          <w:pPr>
            <w:pStyle w:val="TDC1"/>
            <w:spacing w:line="240" w:lineRule="auto"/>
            <w:rPr>
              <w:rFonts w:eastAsiaTheme="minorEastAsia"/>
              <w:noProof/>
              <w:sz w:val="21"/>
              <w:szCs w:val="21"/>
              <w:lang w:val="es-MX" w:eastAsia="es-MX"/>
            </w:rPr>
          </w:pPr>
          <w:hyperlink w:anchor="_Toc121749441" w:history="1">
            <w:r>
              <w:rPr>
                <w:rStyle w:val="Hipervnculo"/>
                <w:rFonts w:ascii="Arial" w:hAnsi="Arial" w:cs="Arial"/>
                <w:i/>
                <w:noProof/>
                <w:sz w:val="21"/>
                <w:szCs w:val="21"/>
              </w:rPr>
              <w:t>5.</w:t>
            </w:r>
            <w:r>
              <w:rPr>
                <w:rFonts w:eastAsiaTheme="minorEastAsia"/>
                <w:noProof/>
                <w:sz w:val="21"/>
                <w:szCs w:val="21"/>
                <w:lang w:val="es-MX" w:eastAsia="es-MX"/>
              </w:rPr>
              <w:tab/>
            </w:r>
            <w:r>
              <w:rPr>
                <w:rStyle w:val="Hipervnculo"/>
                <w:rFonts w:ascii="Arial" w:hAnsi="Arial" w:cs="Arial"/>
                <w:i/>
                <w:noProof/>
                <w:sz w:val="21"/>
                <w:szCs w:val="21"/>
              </w:rPr>
              <w:t>ANÁLISIS DE ALTERNATIVAS</w:t>
            </w:r>
            <w:r>
              <w:rPr>
                <w:noProof/>
                <w:webHidden/>
                <w:sz w:val="21"/>
                <w:szCs w:val="21"/>
              </w:rPr>
              <w:tab/>
            </w:r>
            <w:r>
              <w:rPr>
                <w:noProof/>
                <w:webHidden/>
                <w:sz w:val="21"/>
                <w:szCs w:val="21"/>
              </w:rPr>
              <w:fldChar w:fldCharType="begin"/>
            </w:r>
            <w:r>
              <w:rPr>
                <w:noProof/>
                <w:webHidden/>
                <w:sz w:val="21"/>
                <w:szCs w:val="21"/>
              </w:rPr>
              <w:instrText xml:space="preserve"> PAGEREF _Toc121749441 \h </w:instrText>
            </w:r>
            <w:r>
              <w:rPr>
                <w:noProof/>
                <w:webHidden/>
                <w:sz w:val="21"/>
                <w:szCs w:val="21"/>
              </w:rPr>
            </w:r>
            <w:r>
              <w:rPr>
                <w:noProof/>
                <w:webHidden/>
                <w:sz w:val="21"/>
                <w:szCs w:val="21"/>
              </w:rPr>
              <w:fldChar w:fldCharType="separate"/>
            </w:r>
            <w:r>
              <w:rPr>
                <w:noProof/>
                <w:webHidden/>
                <w:sz w:val="21"/>
                <w:szCs w:val="21"/>
              </w:rPr>
              <w:t>17</w:t>
            </w:r>
            <w:r>
              <w:rPr>
                <w:noProof/>
                <w:webHidden/>
                <w:sz w:val="21"/>
                <w:szCs w:val="21"/>
              </w:rPr>
              <w:fldChar w:fldCharType="end"/>
            </w:r>
          </w:hyperlink>
        </w:p>
        <w:p>
          <w:pPr>
            <w:pStyle w:val="TDC1"/>
            <w:spacing w:line="240" w:lineRule="auto"/>
            <w:rPr>
              <w:rFonts w:eastAsiaTheme="minorEastAsia"/>
              <w:noProof/>
              <w:sz w:val="21"/>
              <w:szCs w:val="21"/>
              <w:lang w:val="es-MX" w:eastAsia="es-MX"/>
            </w:rPr>
          </w:pPr>
          <w:hyperlink w:anchor="_Toc121749442" w:history="1">
            <w:r>
              <w:rPr>
                <w:rStyle w:val="Hipervnculo"/>
                <w:rFonts w:ascii="Arial" w:hAnsi="Arial" w:cs="Arial"/>
                <w:i/>
                <w:noProof/>
                <w:sz w:val="21"/>
                <w:szCs w:val="21"/>
              </w:rPr>
              <w:t>6.</w:t>
            </w:r>
            <w:r>
              <w:rPr>
                <w:rFonts w:eastAsiaTheme="minorEastAsia"/>
                <w:noProof/>
                <w:sz w:val="21"/>
                <w:szCs w:val="21"/>
                <w:lang w:val="es-MX" w:eastAsia="es-MX"/>
              </w:rPr>
              <w:tab/>
            </w:r>
            <w:r>
              <w:rPr>
                <w:rStyle w:val="Hipervnculo"/>
                <w:rFonts w:ascii="Arial" w:hAnsi="Arial" w:cs="Arial"/>
                <w:i/>
                <w:noProof/>
                <w:sz w:val="21"/>
                <w:szCs w:val="21"/>
              </w:rPr>
              <w:t>DISEÑO DEL PROGRAMA PRESUPUESTO O CON CAMBIOS SUSTANCIALES</w:t>
            </w:r>
            <w:r>
              <w:rPr>
                <w:noProof/>
                <w:webHidden/>
                <w:sz w:val="21"/>
                <w:szCs w:val="21"/>
              </w:rPr>
              <w:tab/>
            </w:r>
            <w:r>
              <w:rPr>
                <w:noProof/>
                <w:webHidden/>
                <w:sz w:val="21"/>
                <w:szCs w:val="21"/>
              </w:rPr>
              <w:fldChar w:fldCharType="begin"/>
            </w:r>
            <w:r>
              <w:rPr>
                <w:noProof/>
                <w:webHidden/>
                <w:sz w:val="21"/>
                <w:szCs w:val="21"/>
              </w:rPr>
              <w:instrText xml:space="preserve"> PAGEREF _Toc121749442 \h </w:instrText>
            </w:r>
            <w:r>
              <w:rPr>
                <w:noProof/>
                <w:webHidden/>
                <w:sz w:val="21"/>
                <w:szCs w:val="21"/>
              </w:rPr>
            </w:r>
            <w:r>
              <w:rPr>
                <w:noProof/>
                <w:webHidden/>
                <w:sz w:val="21"/>
                <w:szCs w:val="21"/>
              </w:rPr>
              <w:fldChar w:fldCharType="separate"/>
            </w:r>
            <w:r>
              <w:rPr>
                <w:noProof/>
                <w:webHidden/>
                <w:sz w:val="21"/>
                <w:szCs w:val="21"/>
              </w:rPr>
              <w:t>17</w:t>
            </w:r>
            <w:r>
              <w:rPr>
                <w:noProof/>
                <w:webHidden/>
                <w:sz w:val="21"/>
                <w:szCs w:val="21"/>
              </w:rPr>
              <w:fldChar w:fldCharType="end"/>
            </w:r>
          </w:hyperlink>
        </w:p>
        <w:p>
          <w:pPr>
            <w:pStyle w:val="TDC2"/>
            <w:rPr>
              <w:rFonts w:eastAsiaTheme="minorEastAsia"/>
              <w:noProof/>
              <w:lang w:val="es-MX" w:eastAsia="es-MX"/>
            </w:rPr>
          </w:pPr>
          <w:hyperlink w:anchor="_Toc121749443" w:history="1">
            <w:r>
              <w:rPr>
                <w:rStyle w:val="Hipervnculo"/>
                <w:rFonts w:ascii="Arial" w:hAnsi="Arial" w:cs="Arial"/>
                <w:noProof/>
                <w:sz w:val="21"/>
                <w:szCs w:val="21"/>
              </w:rPr>
              <w:t>6.1.</w:t>
            </w:r>
            <w:r>
              <w:rPr>
                <w:rFonts w:eastAsiaTheme="minorEastAsia"/>
                <w:noProof/>
                <w:lang w:val="es-MX" w:eastAsia="es-MX"/>
              </w:rPr>
              <w:tab/>
            </w:r>
            <w:r>
              <w:rPr>
                <w:rStyle w:val="Hipervnculo"/>
                <w:rFonts w:ascii="Arial" w:hAnsi="Arial" w:cs="Arial"/>
                <w:noProof/>
                <w:sz w:val="21"/>
                <w:szCs w:val="21"/>
              </w:rPr>
              <w:t>Modalidad del programa</w:t>
            </w:r>
            <w:r>
              <w:rPr>
                <w:noProof/>
                <w:webHidden/>
              </w:rPr>
              <w:tab/>
            </w:r>
            <w:r>
              <w:rPr>
                <w:noProof/>
                <w:webHidden/>
              </w:rPr>
              <w:fldChar w:fldCharType="begin"/>
            </w:r>
            <w:r>
              <w:rPr>
                <w:noProof/>
                <w:webHidden/>
              </w:rPr>
              <w:instrText xml:space="preserve"> PAGEREF _Toc121749443 \h </w:instrText>
            </w:r>
            <w:r>
              <w:rPr>
                <w:noProof/>
                <w:webHidden/>
              </w:rPr>
            </w:r>
            <w:r>
              <w:rPr>
                <w:noProof/>
                <w:webHidden/>
              </w:rPr>
              <w:fldChar w:fldCharType="separate"/>
            </w:r>
            <w:r>
              <w:rPr>
                <w:noProof/>
                <w:webHidden/>
              </w:rPr>
              <w:t>18</w:t>
            </w:r>
            <w:r>
              <w:rPr>
                <w:noProof/>
                <w:webHidden/>
              </w:rPr>
              <w:fldChar w:fldCharType="end"/>
            </w:r>
          </w:hyperlink>
        </w:p>
        <w:p>
          <w:pPr>
            <w:pStyle w:val="TDC2"/>
            <w:rPr>
              <w:rFonts w:eastAsiaTheme="minorEastAsia"/>
              <w:noProof/>
              <w:lang w:val="es-MX" w:eastAsia="es-MX"/>
            </w:rPr>
          </w:pPr>
          <w:hyperlink w:anchor="_Toc121749444" w:history="1">
            <w:r>
              <w:rPr>
                <w:rStyle w:val="Hipervnculo"/>
                <w:rFonts w:ascii="Arial" w:hAnsi="Arial" w:cs="Arial"/>
                <w:noProof/>
                <w:sz w:val="21"/>
                <w:szCs w:val="21"/>
              </w:rPr>
              <w:t>6.2.</w:t>
            </w:r>
            <w:r>
              <w:rPr>
                <w:rFonts w:eastAsiaTheme="minorEastAsia"/>
                <w:noProof/>
                <w:lang w:val="es-MX" w:eastAsia="es-MX"/>
              </w:rPr>
              <w:tab/>
            </w:r>
            <w:r>
              <w:rPr>
                <w:rStyle w:val="Hipervnculo"/>
                <w:rFonts w:ascii="Arial" w:hAnsi="Arial" w:cs="Arial"/>
                <w:noProof/>
                <w:sz w:val="21"/>
                <w:szCs w:val="21"/>
              </w:rPr>
              <w:t>Diseño del programa</w:t>
            </w:r>
            <w:r>
              <w:rPr>
                <w:noProof/>
                <w:webHidden/>
              </w:rPr>
              <w:tab/>
            </w:r>
            <w:r>
              <w:rPr>
                <w:noProof/>
                <w:webHidden/>
              </w:rPr>
              <w:fldChar w:fldCharType="begin"/>
            </w:r>
            <w:r>
              <w:rPr>
                <w:noProof/>
                <w:webHidden/>
              </w:rPr>
              <w:instrText xml:space="preserve"> PAGEREF _Toc121749444 \h </w:instrText>
            </w:r>
            <w:r>
              <w:rPr>
                <w:noProof/>
                <w:webHidden/>
              </w:rPr>
            </w:r>
            <w:r>
              <w:rPr>
                <w:noProof/>
                <w:webHidden/>
              </w:rPr>
              <w:fldChar w:fldCharType="separate"/>
            </w:r>
            <w:r>
              <w:rPr>
                <w:noProof/>
                <w:webHidden/>
              </w:rPr>
              <w:t>18</w:t>
            </w:r>
            <w:r>
              <w:rPr>
                <w:noProof/>
                <w:webHidden/>
              </w:rPr>
              <w:fldChar w:fldCharType="end"/>
            </w:r>
          </w:hyperlink>
        </w:p>
        <w:p>
          <w:pPr>
            <w:pStyle w:val="TDC3"/>
            <w:rPr>
              <w:rFonts w:eastAsiaTheme="minorEastAsia"/>
              <w:noProof/>
              <w:sz w:val="21"/>
              <w:szCs w:val="21"/>
              <w:lang w:val="es-MX" w:eastAsia="es-MX"/>
            </w:rPr>
          </w:pPr>
          <w:hyperlink w:anchor="_Toc121749445" w:history="1">
            <w:r>
              <w:rPr>
                <w:rStyle w:val="Hipervnculo"/>
                <w:rFonts w:ascii="Arial" w:hAnsi="Arial" w:cs="Arial"/>
                <w:noProof/>
                <w:sz w:val="21"/>
                <w:szCs w:val="21"/>
              </w:rPr>
              <w:t>6.2.1. Unidades responsables</w:t>
            </w:r>
            <w:r>
              <w:rPr>
                <w:noProof/>
                <w:webHidden/>
                <w:sz w:val="21"/>
                <w:szCs w:val="21"/>
              </w:rPr>
              <w:tab/>
            </w:r>
            <w:r>
              <w:rPr>
                <w:noProof/>
                <w:webHidden/>
                <w:sz w:val="21"/>
                <w:szCs w:val="21"/>
              </w:rPr>
              <w:fldChar w:fldCharType="begin"/>
            </w:r>
            <w:r>
              <w:rPr>
                <w:noProof/>
                <w:webHidden/>
                <w:sz w:val="21"/>
                <w:szCs w:val="21"/>
              </w:rPr>
              <w:instrText xml:space="preserve"> PAGEREF _Toc121749445 \h </w:instrText>
            </w:r>
            <w:r>
              <w:rPr>
                <w:noProof/>
                <w:webHidden/>
                <w:sz w:val="21"/>
                <w:szCs w:val="21"/>
              </w:rPr>
            </w:r>
            <w:r>
              <w:rPr>
                <w:noProof/>
                <w:webHidden/>
                <w:sz w:val="21"/>
                <w:szCs w:val="21"/>
              </w:rPr>
              <w:fldChar w:fldCharType="separate"/>
            </w:r>
            <w:r>
              <w:rPr>
                <w:noProof/>
                <w:webHidden/>
                <w:sz w:val="21"/>
                <w:szCs w:val="21"/>
              </w:rPr>
              <w:t>18</w:t>
            </w:r>
            <w:r>
              <w:rPr>
                <w:noProof/>
                <w:webHidden/>
                <w:sz w:val="21"/>
                <w:szCs w:val="21"/>
              </w:rPr>
              <w:fldChar w:fldCharType="end"/>
            </w:r>
          </w:hyperlink>
        </w:p>
        <w:p>
          <w:pPr>
            <w:pStyle w:val="TDC3"/>
            <w:rPr>
              <w:rFonts w:eastAsiaTheme="minorEastAsia"/>
              <w:noProof/>
              <w:sz w:val="21"/>
              <w:szCs w:val="21"/>
              <w:lang w:val="es-MX" w:eastAsia="es-MX"/>
            </w:rPr>
          </w:pPr>
          <w:hyperlink w:anchor="_Toc121749446" w:history="1">
            <w:r>
              <w:rPr>
                <w:rStyle w:val="Hipervnculo"/>
                <w:rFonts w:ascii="Arial" w:hAnsi="Arial" w:cs="Arial"/>
                <w:noProof/>
                <w:sz w:val="21"/>
                <w:szCs w:val="21"/>
              </w:rPr>
              <w:t>6.2.2 Principales características de operación del programa</w:t>
            </w:r>
            <w:r>
              <w:rPr>
                <w:noProof/>
                <w:webHidden/>
                <w:sz w:val="21"/>
                <w:szCs w:val="21"/>
              </w:rPr>
              <w:tab/>
            </w:r>
            <w:r>
              <w:rPr>
                <w:noProof/>
                <w:webHidden/>
                <w:sz w:val="21"/>
                <w:szCs w:val="21"/>
              </w:rPr>
              <w:fldChar w:fldCharType="begin"/>
            </w:r>
            <w:r>
              <w:rPr>
                <w:noProof/>
                <w:webHidden/>
                <w:sz w:val="21"/>
                <w:szCs w:val="21"/>
              </w:rPr>
              <w:instrText xml:space="preserve"> PAGEREF _Toc121749446 \h </w:instrText>
            </w:r>
            <w:r>
              <w:rPr>
                <w:noProof/>
                <w:webHidden/>
                <w:sz w:val="21"/>
                <w:szCs w:val="21"/>
              </w:rPr>
            </w:r>
            <w:r>
              <w:rPr>
                <w:noProof/>
                <w:webHidden/>
                <w:sz w:val="21"/>
                <w:szCs w:val="21"/>
              </w:rPr>
              <w:fldChar w:fldCharType="separate"/>
            </w:r>
            <w:r>
              <w:rPr>
                <w:noProof/>
                <w:webHidden/>
                <w:sz w:val="21"/>
                <w:szCs w:val="21"/>
              </w:rPr>
              <w:t>19</w:t>
            </w:r>
            <w:r>
              <w:rPr>
                <w:noProof/>
                <w:webHidden/>
                <w:sz w:val="21"/>
                <w:szCs w:val="21"/>
              </w:rPr>
              <w:fldChar w:fldCharType="end"/>
            </w:r>
          </w:hyperlink>
        </w:p>
        <w:p>
          <w:pPr>
            <w:pStyle w:val="TDC3"/>
            <w:rPr>
              <w:rFonts w:eastAsiaTheme="minorEastAsia"/>
              <w:noProof/>
              <w:sz w:val="21"/>
              <w:szCs w:val="21"/>
              <w:lang w:val="es-MX" w:eastAsia="es-MX"/>
            </w:rPr>
          </w:pPr>
          <w:hyperlink w:anchor="_Toc121749447" w:history="1">
            <w:r>
              <w:rPr>
                <w:rStyle w:val="Hipervnculo"/>
                <w:rFonts w:ascii="Arial" w:hAnsi="Arial" w:cs="Arial"/>
                <w:noProof/>
                <w:sz w:val="21"/>
                <w:szCs w:val="21"/>
              </w:rPr>
              <w:t>6.2.2.1 Previsiones para la integración y operación del padrón de beneficiarios</w:t>
            </w:r>
            <w:r>
              <w:rPr>
                <w:noProof/>
                <w:webHidden/>
                <w:sz w:val="21"/>
                <w:szCs w:val="21"/>
              </w:rPr>
              <w:tab/>
            </w:r>
            <w:r>
              <w:rPr>
                <w:noProof/>
                <w:webHidden/>
                <w:sz w:val="21"/>
                <w:szCs w:val="21"/>
              </w:rPr>
              <w:fldChar w:fldCharType="begin"/>
            </w:r>
            <w:r>
              <w:rPr>
                <w:noProof/>
                <w:webHidden/>
                <w:sz w:val="21"/>
                <w:szCs w:val="21"/>
              </w:rPr>
              <w:instrText xml:space="preserve"> PAGEREF _Toc121749447 \h </w:instrText>
            </w:r>
            <w:r>
              <w:rPr>
                <w:noProof/>
                <w:webHidden/>
                <w:sz w:val="21"/>
                <w:szCs w:val="21"/>
              </w:rPr>
            </w:r>
            <w:r>
              <w:rPr>
                <w:noProof/>
                <w:webHidden/>
                <w:sz w:val="21"/>
                <w:szCs w:val="21"/>
              </w:rPr>
              <w:fldChar w:fldCharType="separate"/>
            </w:r>
            <w:r>
              <w:rPr>
                <w:noProof/>
                <w:webHidden/>
                <w:sz w:val="21"/>
                <w:szCs w:val="21"/>
              </w:rPr>
              <w:t>19</w:t>
            </w:r>
            <w:r>
              <w:rPr>
                <w:noProof/>
                <w:webHidden/>
                <w:sz w:val="21"/>
                <w:szCs w:val="21"/>
              </w:rPr>
              <w:fldChar w:fldCharType="end"/>
            </w:r>
          </w:hyperlink>
        </w:p>
        <w:p>
          <w:pPr>
            <w:pStyle w:val="TDC3"/>
            <w:rPr>
              <w:rFonts w:eastAsiaTheme="minorEastAsia"/>
              <w:noProof/>
              <w:sz w:val="21"/>
              <w:szCs w:val="21"/>
              <w:lang w:val="es-MX" w:eastAsia="es-MX"/>
            </w:rPr>
          </w:pPr>
          <w:hyperlink w:anchor="_Toc121749448" w:history="1">
            <w:r>
              <w:rPr>
                <w:rStyle w:val="Hipervnculo"/>
                <w:noProof/>
                <w:sz w:val="21"/>
                <w:szCs w:val="21"/>
              </w:rPr>
              <w:t>6.2.2.2</w:t>
            </w:r>
            <w:r>
              <w:rPr>
                <w:rFonts w:eastAsiaTheme="minorEastAsia"/>
                <w:noProof/>
                <w:sz w:val="21"/>
                <w:szCs w:val="21"/>
                <w:lang w:val="es-MX" w:eastAsia="es-MX"/>
              </w:rPr>
              <w:tab/>
            </w:r>
            <w:r>
              <w:rPr>
                <w:rStyle w:val="Hipervnculo"/>
                <w:noProof/>
                <w:sz w:val="21"/>
                <w:szCs w:val="21"/>
              </w:rPr>
              <w:t>Matriz de indicadores para Resultados</w:t>
            </w:r>
            <w:r>
              <w:rPr>
                <w:noProof/>
                <w:webHidden/>
                <w:sz w:val="21"/>
                <w:szCs w:val="21"/>
              </w:rPr>
              <w:tab/>
            </w:r>
            <w:r>
              <w:rPr>
                <w:noProof/>
                <w:webHidden/>
                <w:sz w:val="21"/>
                <w:szCs w:val="21"/>
              </w:rPr>
              <w:fldChar w:fldCharType="begin"/>
            </w:r>
            <w:r>
              <w:rPr>
                <w:noProof/>
                <w:webHidden/>
                <w:sz w:val="21"/>
                <w:szCs w:val="21"/>
              </w:rPr>
              <w:instrText xml:space="preserve"> PAGEREF _Toc121749448 \h </w:instrText>
            </w:r>
            <w:r>
              <w:rPr>
                <w:noProof/>
                <w:webHidden/>
                <w:sz w:val="21"/>
                <w:szCs w:val="21"/>
              </w:rPr>
            </w:r>
            <w:r>
              <w:rPr>
                <w:noProof/>
                <w:webHidden/>
                <w:sz w:val="21"/>
                <w:szCs w:val="21"/>
              </w:rPr>
              <w:fldChar w:fldCharType="separate"/>
            </w:r>
            <w:r>
              <w:rPr>
                <w:noProof/>
                <w:webHidden/>
                <w:sz w:val="21"/>
                <w:szCs w:val="21"/>
              </w:rPr>
              <w:t>20</w:t>
            </w:r>
            <w:r>
              <w:rPr>
                <w:noProof/>
                <w:webHidden/>
                <w:sz w:val="21"/>
                <w:szCs w:val="21"/>
              </w:rPr>
              <w:fldChar w:fldCharType="end"/>
            </w:r>
          </w:hyperlink>
        </w:p>
        <w:p>
          <w:pPr>
            <w:pStyle w:val="TDC1"/>
            <w:spacing w:line="240" w:lineRule="auto"/>
            <w:rPr>
              <w:rFonts w:eastAsiaTheme="minorEastAsia"/>
              <w:noProof/>
              <w:sz w:val="21"/>
              <w:szCs w:val="21"/>
              <w:lang w:val="es-MX" w:eastAsia="es-MX"/>
            </w:rPr>
          </w:pPr>
          <w:hyperlink w:anchor="_Toc121749449" w:history="1">
            <w:r>
              <w:rPr>
                <w:rStyle w:val="Hipervnculo"/>
                <w:rFonts w:ascii="Arial" w:hAnsi="Arial" w:cs="Arial"/>
                <w:i/>
                <w:noProof/>
                <w:sz w:val="21"/>
                <w:szCs w:val="21"/>
              </w:rPr>
              <w:t>7.</w:t>
            </w:r>
            <w:r>
              <w:rPr>
                <w:rFonts w:eastAsiaTheme="minorEastAsia"/>
                <w:noProof/>
                <w:sz w:val="21"/>
                <w:szCs w:val="21"/>
                <w:lang w:val="es-MX" w:eastAsia="es-MX"/>
              </w:rPr>
              <w:tab/>
            </w:r>
            <w:r>
              <w:rPr>
                <w:rStyle w:val="Hipervnculo"/>
                <w:rFonts w:ascii="Arial" w:hAnsi="Arial" w:cs="Arial"/>
                <w:i/>
                <w:noProof/>
                <w:sz w:val="21"/>
                <w:szCs w:val="21"/>
              </w:rPr>
              <w:t>ANÁLISIS DE SIMILITUDES O COMPLEMENTARIEDADES</w:t>
            </w:r>
            <w:r>
              <w:rPr>
                <w:noProof/>
                <w:webHidden/>
                <w:sz w:val="21"/>
                <w:szCs w:val="21"/>
              </w:rPr>
              <w:tab/>
            </w:r>
            <w:r>
              <w:rPr>
                <w:noProof/>
                <w:webHidden/>
                <w:sz w:val="21"/>
                <w:szCs w:val="21"/>
              </w:rPr>
              <w:fldChar w:fldCharType="begin"/>
            </w:r>
            <w:r>
              <w:rPr>
                <w:noProof/>
                <w:webHidden/>
                <w:sz w:val="21"/>
                <w:szCs w:val="21"/>
              </w:rPr>
              <w:instrText xml:space="preserve"> PAGEREF _Toc121749449 \h </w:instrText>
            </w:r>
            <w:r>
              <w:rPr>
                <w:noProof/>
                <w:webHidden/>
                <w:sz w:val="21"/>
                <w:szCs w:val="21"/>
              </w:rPr>
            </w:r>
            <w:r>
              <w:rPr>
                <w:noProof/>
                <w:webHidden/>
                <w:sz w:val="21"/>
                <w:szCs w:val="21"/>
              </w:rPr>
              <w:fldChar w:fldCharType="separate"/>
            </w:r>
            <w:r>
              <w:rPr>
                <w:noProof/>
                <w:webHidden/>
                <w:sz w:val="21"/>
                <w:szCs w:val="21"/>
              </w:rPr>
              <w:t>20</w:t>
            </w:r>
            <w:r>
              <w:rPr>
                <w:noProof/>
                <w:webHidden/>
                <w:sz w:val="21"/>
                <w:szCs w:val="21"/>
              </w:rPr>
              <w:fldChar w:fldCharType="end"/>
            </w:r>
          </w:hyperlink>
        </w:p>
        <w:p>
          <w:pPr>
            <w:pStyle w:val="TDC1"/>
            <w:spacing w:line="240" w:lineRule="auto"/>
            <w:rPr>
              <w:rFonts w:eastAsiaTheme="minorEastAsia"/>
              <w:noProof/>
              <w:sz w:val="21"/>
              <w:szCs w:val="21"/>
              <w:lang w:val="es-MX" w:eastAsia="es-MX"/>
            </w:rPr>
          </w:pPr>
          <w:hyperlink w:anchor="_Toc121749450" w:history="1">
            <w:r>
              <w:rPr>
                <w:rStyle w:val="Hipervnculo"/>
                <w:rFonts w:ascii="Arial" w:hAnsi="Arial" w:cs="Arial"/>
                <w:i/>
                <w:noProof/>
                <w:sz w:val="21"/>
                <w:szCs w:val="21"/>
              </w:rPr>
              <w:t>8.</w:t>
            </w:r>
            <w:r>
              <w:rPr>
                <w:rFonts w:eastAsiaTheme="minorEastAsia"/>
                <w:noProof/>
                <w:sz w:val="21"/>
                <w:szCs w:val="21"/>
                <w:lang w:val="es-MX" w:eastAsia="es-MX"/>
              </w:rPr>
              <w:tab/>
            </w:r>
            <w:r>
              <w:rPr>
                <w:rStyle w:val="Hipervnculo"/>
                <w:rFonts w:ascii="Arial" w:hAnsi="Arial" w:cs="Arial"/>
                <w:i/>
                <w:noProof/>
                <w:sz w:val="21"/>
                <w:szCs w:val="21"/>
              </w:rPr>
              <w:t>PRESUPUESTO</w:t>
            </w:r>
            <w:r>
              <w:rPr>
                <w:noProof/>
                <w:webHidden/>
                <w:sz w:val="21"/>
                <w:szCs w:val="21"/>
              </w:rPr>
              <w:tab/>
            </w:r>
            <w:r>
              <w:rPr>
                <w:noProof/>
                <w:webHidden/>
                <w:sz w:val="21"/>
                <w:szCs w:val="21"/>
              </w:rPr>
              <w:fldChar w:fldCharType="begin"/>
            </w:r>
            <w:r>
              <w:rPr>
                <w:noProof/>
                <w:webHidden/>
                <w:sz w:val="21"/>
                <w:szCs w:val="21"/>
              </w:rPr>
              <w:instrText xml:space="preserve"> PAGEREF _Toc121749450 \h </w:instrText>
            </w:r>
            <w:r>
              <w:rPr>
                <w:noProof/>
                <w:webHidden/>
                <w:sz w:val="21"/>
                <w:szCs w:val="21"/>
              </w:rPr>
            </w:r>
            <w:r>
              <w:rPr>
                <w:noProof/>
                <w:webHidden/>
                <w:sz w:val="21"/>
                <w:szCs w:val="21"/>
              </w:rPr>
              <w:fldChar w:fldCharType="separate"/>
            </w:r>
            <w:r>
              <w:rPr>
                <w:noProof/>
                <w:webHidden/>
                <w:sz w:val="21"/>
                <w:szCs w:val="21"/>
              </w:rPr>
              <w:t>22</w:t>
            </w:r>
            <w:r>
              <w:rPr>
                <w:noProof/>
                <w:webHidden/>
                <w:sz w:val="21"/>
                <w:szCs w:val="21"/>
              </w:rPr>
              <w:fldChar w:fldCharType="end"/>
            </w:r>
          </w:hyperlink>
        </w:p>
        <w:p>
          <w:pPr>
            <w:pStyle w:val="TDC2"/>
            <w:rPr>
              <w:rFonts w:eastAsiaTheme="minorEastAsia"/>
              <w:noProof/>
              <w:lang w:val="es-MX" w:eastAsia="es-MX"/>
            </w:rPr>
          </w:pPr>
          <w:hyperlink w:anchor="_Toc121749451" w:history="1">
            <w:r>
              <w:rPr>
                <w:rStyle w:val="Hipervnculo"/>
                <w:rFonts w:ascii="Arial" w:hAnsi="Arial" w:cs="Arial"/>
                <w:noProof/>
                <w:sz w:val="21"/>
                <w:szCs w:val="21"/>
              </w:rPr>
              <w:t>8.1.</w:t>
            </w:r>
            <w:r>
              <w:rPr>
                <w:rFonts w:eastAsiaTheme="minorEastAsia"/>
                <w:noProof/>
                <w:lang w:val="es-MX" w:eastAsia="es-MX"/>
              </w:rPr>
              <w:tab/>
            </w:r>
            <w:r>
              <w:rPr>
                <w:rStyle w:val="Hipervnculo"/>
                <w:rFonts w:ascii="Arial" w:hAnsi="Arial" w:cs="Arial"/>
                <w:noProof/>
                <w:sz w:val="21"/>
                <w:szCs w:val="21"/>
              </w:rPr>
              <w:t>Impacto presupuestario y fuentes de financiamiento</w:t>
            </w:r>
            <w:r>
              <w:rPr>
                <w:noProof/>
                <w:webHidden/>
              </w:rPr>
              <w:tab/>
            </w:r>
            <w:r>
              <w:rPr>
                <w:noProof/>
                <w:webHidden/>
              </w:rPr>
              <w:fldChar w:fldCharType="begin"/>
            </w:r>
            <w:r>
              <w:rPr>
                <w:noProof/>
                <w:webHidden/>
              </w:rPr>
              <w:instrText xml:space="preserve"> PAGEREF _Toc121749451 \h </w:instrText>
            </w:r>
            <w:r>
              <w:rPr>
                <w:noProof/>
                <w:webHidden/>
              </w:rPr>
            </w:r>
            <w:r>
              <w:rPr>
                <w:noProof/>
                <w:webHidden/>
              </w:rPr>
              <w:fldChar w:fldCharType="separate"/>
            </w:r>
            <w:r>
              <w:rPr>
                <w:noProof/>
                <w:webHidden/>
              </w:rPr>
              <w:t>22</w:t>
            </w:r>
            <w:r>
              <w:rPr>
                <w:noProof/>
                <w:webHidden/>
              </w:rPr>
              <w:fldChar w:fldCharType="end"/>
            </w:r>
          </w:hyperlink>
        </w:p>
        <w:p>
          <w:pPr>
            <w:pStyle w:val="TDC1"/>
            <w:spacing w:line="240" w:lineRule="auto"/>
            <w:rPr>
              <w:rFonts w:eastAsiaTheme="minorEastAsia"/>
              <w:noProof/>
              <w:sz w:val="21"/>
              <w:szCs w:val="21"/>
              <w:lang w:val="es-MX" w:eastAsia="es-MX"/>
            </w:rPr>
          </w:pPr>
          <w:hyperlink w:anchor="_Toc121749452" w:history="1">
            <w:r>
              <w:rPr>
                <w:rStyle w:val="Hipervnculo"/>
                <w:rFonts w:ascii="Arial" w:hAnsi="Arial" w:cs="Arial"/>
                <w:i/>
                <w:noProof/>
                <w:sz w:val="21"/>
                <w:szCs w:val="21"/>
              </w:rPr>
              <w:t>ANEXO I. FICHA CON DATOS GENERALES DEL PROGRAMA PROPUESTO O CON CAMBIOS SUSTANCIALES</w:t>
            </w:r>
            <w:r>
              <w:rPr>
                <w:noProof/>
                <w:webHidden/>
                <w:sz w:val="21"/>
                <w:szCs w:val="21"/>
              </w:rPr>
              <w:tab/>
            </w:r>
            <w:r>
              <w:rPr>
                <w:noProof/>
                <w:webHidden/>
                <w:sz w:val="21"/>
                <w:szCs w:val="21"/>
              </w:rPr>
              <w:fldChar w:fldCharType="begin"/>
            </w:r>
            <w:r>
              <w:rPr>
                <w:noProof/>
                <w:webHidden/>
                <w:sz w:val="21"/>
                <w:szCs w:val="21"/>
              </w:rPr>
              <w:instrText xml:space="preserve"> PAGEREF _Toc121749452 \h </w:instrText>
            </w:r>
            <w:r>
              <w:rPr>
                <w:noProof/>
                <w:webHidden/>
                <w:sz w:val="21"/>
                <w:szCs w:val="21"/>
              </w:rPr>
            </w:r>
            <w:r>
              <w:rPr>
                <w:noProof/>
                <w:webHidden/>
                <w:sz w:val="21"/>
                <w:szCs w:val="21"/>
              </w:rPr>
              <w:fldChar w:fldCharType="separate"/>
            </w:r>
            <w:r>
              <w:rPr>
                <w:noProof/>
                <w:webHidden/>
                <w:sz w:val="21"/>
                <w:szCs w:val="21"/>
              </w:rPr>
              <w:t>23</w:t>
            </w:r>
            <w:r>
              <w:rPr>
                <w:noProof/>
                <w:webHidden/>
                <w:sz w:val="21"/>
                <w:szCs w:val="21"/>
              </w:rPr>
              <w:fldChar w:fldCharType="end"/>
            </w:r>
          </w:hyperlink>
        </w:p>
        <w:p>
          <w:pPr>
            <w:pStyle w:val="TDC1"/>
            <w:spacing w:line="240" w:lineRule="auto"/>
            <w:rPr>
              <w:rFonts w:eastAsiaTheme="minorEastAsia"/>
              <w:noProof/>
              <w:lang w:val="es-MX" w:eastAsia="es-MX"/>
            </w:rPr>
          </w:pPr>
          <w:hyperlink w:anchor="_Toc121749453" w:history="1">
            <w:r>
              <w:rPr>
                <w:rStyle w:val="Hipervnculo"/>
                <w:rFonts w:ascii="Arial" w:hAnsi="Arial" w:cs="Arial"/>
                <w:i/>
                <w:noProof/>
                <w:sz w:val="21"/>
                <w:szCs w:val="21"/>
              </w:rPr>
              <w:t>ANEXO II. COMPLEMENTARIEDADES Y COINCIDENCIAS ENTRE PROGRAMAS</w:t>
            </w:r>
            <w:r>
              <w:rPr>
                <w:noProof/>
                <w:webHidden/>
                <w:sz w:val="21"/>
                <w:szCs w:val="21"/>
              </w:rPr>
              <w:tab/>
            </w:r>
            <w:r>
              <w:rPr>
                <w:noProof/>
                <w:webHidden/>
                <w:sz w:val="21"/>
                <w:szCs w:val="21"/>
              </w:rPr>
              <w:fldChar w:fldCharType="begin"/>
            </w:r>
            <w:r>
              <w:rPr>
                <w:noProof/>
                <w:webHidden/>
                <w:sz w:val="21"/>
                <w:szCs w:val="21"/>
              </w:rPr>
              <w:instrText xml:space="preserve"> PAGEREF _Toc121749453 \h </w:instrText>
            </w:r>
            <w:r>
              <w:rPr>
                <w:noProof/>
                <w:webHidden/>
                <w:sz w:val="21"/>
                <w:szCs w:val="21"/>
              </w:rPr>
            </w:r>
            <w:r>
              <w:rPr>
                <w:noProof/>
                <w:webHidden/>
                <w:sz w:val="21"/>
                <w:szCs w:val="21"/>
              </w:rPr>
              <w:fldChar w:fldCharType="separate"/>
            </w:r>
            <w:r>
              <w:rPr>
                <w:noProof/>
                <w:webHidden/>
                <w:sz w:val="21"/>
                <w:szCs w:val="21"/>
              </w:rPr>
              <w:t>27</w:t>
            </w:r>
            <w:r>
              <w:rPr>
                <w:noProof/>
                <w:webHidden/>
                <w:sz w:val="21"/>
                <w:szCs w:val="21"/>
              </w:rPr>
              <w:fldChar w:fldCharType="end"/>
            </w:r>
          </w:hyperlink>
        </w:p>
        <w:p>
          <w:pPr>
            <w:pStyle w:val="TDC1"/>
            <w:spacing w:line="240" w:lineRule="auto"/>
            <w:rPr>
              <w:rFonts w:ascii="Arial" w:hAnsi="Arial" w:cs="Arial"/>
              <w:sz w:val="20"/>
              <w:szCs w:val="20"/>
            </w:rPr>
          </w:pPr>
          <w:r>
            <w:rPr>
              <w:rFonts w:ascii="Arial" w:hAnsi="Arial" w:cs="Arial"/>
              <w:b/>
              <w:bCs/>
              <w:sz w:val="20"/>
              <w:szCs w:val="20"/>
              <w:lang w:val="es-ES"/>
            </w:rPr>
            <w:fldChar w:fldCharType="end"/>
          </w:r>
        </w:p>
      </w:sdtContent>
    </w:sdt>
    <w:p>
      <w:pPr>
        <w:spacing w:line="240" w:lineRule="auto"/>
        <w:ind w:right="-801"/>
        <w:rPr>
          <w:rFonts w:ascii="Arial" w:hAnsi="Arial" w:cs="Arial"/>
          <w:b/>
          <w:sz w:val="20"/>
          <w:szCs w:val="20"/>
        </w:rPr>
        <w:sectPr>
          <w:pgSz w:w="12240" w:h="15840"/>
          <w:pgMar w:top="1304" w:right="902" w:bottom="1134" w:left="1276" w:header="28" w:footer="23" w:gutter="0"/>
          <w:pgNumType w:start="1"/>
          <w:cols w:space="708"/>
          <w:titlePg/>
          <w:docGrid w:linePitch="360"/>
        </w:sectPr>
      </w:pPr>
    </w:p>
    <w:p>
      <w:pPr>
        <w:pStyle w:val="Ttulo1"/>
        <w:spacing w:line="276" w:lineRule="auto"/>
        <w:ind w:left="-567" w:right="-801"/>
        <w:rPr>
          <w:rFonts w:ascii="Arial" w:hAnsi="Arial" w:cs="Arial"/>
          <w:i/>
          <w:sz w:val="24"/>
        </w:rPr>
      </w:pPr>
      <w:bookmarkStart w:id="0" w:name="_Toc121749420"/>
      <w:r>
        <w:rPr>
          <w:rFonts w:ascii="Arial" w:hAnsi="Arial" w:cs="Arial"/>
          <w:i/>
          <w:sz w:val="24"/>
        </w:rPr>
        <w:lastRenderedPageBreak/>
        <w:t>INTRODUCCIÓN</w:t>
      </w:r>
      <w:bookmarkEnd w:id="0"/>
    </w:p>
    <w:p>
      <w:pPr>
        <w:rPr>
          <w:sz w:val="4"/>
        </w:rPr>
      </w:pPr>
    </w:p>
    <w:p>
      <w:pPr>
        <w:ind w:left="-567" w:right="-801"/>
        <w:jc w:val="both"/>
        <w:rPr>
          <w:rFonts w:ascii="Arial" w:hAnsi="Arial" w:cs="Arial"/>
        </w:rPr>
      </w:pPr>
      <w:r>
        <w:rPr>
          <w:rFonts w:ascii="Arial" w:hAnsi="Arial" w:cs="Arial"/>
        </w:rPr>
        <w:t>En el marco de los Lineamientos Generales para la Evaluación de los Programas Federales de la Administración Pública Federal</w:t>
      </w:r>
      <w:r>
        <w:rPr>
          <w:rStyle w:val="Refdenotaalpie"/>
          <w:rFonts w:ascii="Arial" w:hAnsi="Arial" w:cs="Arial"/>
        </w:rPr>
        <w:footnoteReference w:id="1"/>
      </w:r>
      <w:r>
        <w:rPr>
          <w:rFonts w:ascii="Arial" w:hAnsi="Arial" w:cs="Arial"/>
        </w:rPr>
        <w:t xml:space="preserve">   de la Secretaría de Hacienda y Crédito Público, Secretaría de la Función Pública y Consejo Nacional de Evaluación de la Política de Desarrollo Social CONEVAL, señalan en su numeral Vigésimo Primero, en su primero y segundo párrafo, que las dependencias y entidades deberán elaborar un diagnóstico que justifique la creación de nuevos programas federales que se pretendan incluir dentro del proyecto de presupuesto anual o, en su caso, que justifique la ampliación o modificación sustantiva de los programas federales existentes, precisando su impacto presupuestario y las fuentes de financiamiento.</w:t>
      </w:r>
    </w:p>
    <w:p>
      <w:pPr>
        <w:ind w:left="-567" w:right="-801"/>
        <w:jc w:val="both"/>
        <w:rPr>
          <w:rFonts w:ascii="Arial" w:hAnsi="Arial" w:cs="Arial"/>
        </w:rPr>
      </w:pPr>
      <w:r>
        <w:rPr>
          <w:rFonts w:ascii="Arial" w:hAnsi="Arial" w:cs="Arial"/>
        </w:rPr>
        <w:t>En los Lineamientos se establece que el Diagnóstico deberá especificar de qué manera el programa propuesto contribuye al cumplimiento de los objetivos estratégicos de la dependencia o entidad y, en su caso, las previsiones para la integración y operación de su padrón de beneficiarios conforme a las disposiciones aplicables.</w:t>
      </w:r>
    </w:p>
    <w:p>
      <w:pPr>
        <w:ind w:left="-567" w:right="-801"/>
        <w:jc w:val="both"/>
        <w:rPr>
          <w:rFonts w:ascii="Arial" w:hAnsi="Arial" w:cs="Arial"/>
        </w:rPr>
      </w:pPr>
      <w:r>
        <w:rPr>
          <w:rFonts w:ascii="Arial" w:hAnsi="Arial" w:cs="Arial"/>
        </w:rPr>
        <w:t xml:space="preserve">En el ámbito estatal, se expiden los Lineamientos Generales de la Administración Pública Estatal para regular los Procesos de Planeación, Programación y </w:t>
      </w:r>
      <w:proofErr w:type="spellStart"/>
      <w:r>
        <w:rPr>
          <w:rFonts w:ascii="Arial" w:hAnsi="Arial" w:cs="Arial"/>
        </w:rPr>
        <w:t>Presupuestación</w:t>
      </w:r>
      <w:proofErr w:type="spellEnd"/>
      <w:r>
        <w:rPr>
          <w:rFonts w:ascii="Arial" w:hAnsi="Arial" w:cs="Arial"/>
        </w:rPr>
        <w:t xml:space="preserve"> para el Ejercicio Fiscal en curso,  en el apartado cinco, párrafo quinto, se establece que los Entes Públicos que propongan cambios sustanciales a los programas presupuestales para el presupuesto de egresos por presentarse, deberán realizar o actualizar el diagnóstico acerca de la problemática o situación que se espera atender, donde se justifiquen los cambios propuestos, tomando como base los elementos mínimos a considerar para la elaboración del Diagnóstico de los </w:t>
      </w:r>
      <w:proofErr w:type="spellStart"/>
      <w:r>
        <w:rPr>
          <w:rFonts w:ascii="Arial" w:hAnsi="Arial" w:cs="Arial"/>
        </w:rPr>
        <w:t>Pp´s</w:t>
      </w:r>
      <w:proofErr w:type="spellEnd"/>
      <w:r>
        <w:rPr>
          <w:rFonts w:ascii="Arial" w:hAnsi="Arial" w:cs="Arial"/>
        </w:rPr>
        <w:t>, de nueva creación con cambios sustanciales, emitidos por la Secretaría y posteriormente notificarlo por escrito a la Dirección de Presupuesto.</w:t>
      </w:r>
    </w:p>
    <w:p>
      <w:pPr>
        <w:ind w:left="-567" w:right="-801"/>
        <w:jc w:val="both"/>
        <w:rPr>
          <w:rFonts w:ascii="Arial" w:hAnsi="Arial" w:cs="Arial"/>
        </w:rPr>
      </w:pPr>
      <w:r>
        <w:rPr>
          <w:rFonts w:ascii="Arial" w:hAnsi="Arial" w:cs="Arial"/>
        </w:rPr>
        <w:t>Con base en lo anterior, la propuesta de rediseño del programa presupuestario 2E208C1 Servicios para la Calidad en Educación Básica, fue presentado para su validación al departamento de Planeación Estratégica y Evaluación  de la Secretaría de Hacienda del Gobierno del Estado de Chihuahua, mismos que fueron autorizados.</w:t>
      </w:r>
    </w:p>
    <w:p>
      <w:pPr>
        <w:ind w:left="-567" w:right="-801"/>
        <w:rPr>
          <w:rFonts w:ascii="Arial" w:hAnsi="Arial" w:cs="Arial"/>
          <w:sz w:val="8"/>
        </w:rPr>
      </w:pPr>
    </w:p>
    <w:p>
      <w:pPr>
        <w:pStyle w:val="Ttulo1"/>
        <w:spacing w:line="276" w:lineRule="auto"/>
        <w:ind w:left="-567" w:right="-801"/>
        <w:rPr>
          <w:rFonts w:ascii="Arial" w:hAnsi="Arial" w:cs="Arial"/>
          <w:i/>
          <w:sz w:val="24"/>
        </w:rPr>
      </w:pPr>
      <w:bookmarkStart w:id="1" w:name="_Toc121749421"/>
      <w:r>
        <w:rPr>
          <w:rFonts w:ascii="Arial" w:hAnsi="Arial" w:cs="Arial"/>
          <w:i/>
          <w:sz w:val="24"/>
        </w:rPr>
        <w:t>OBJETIVO</w:t>
      </w:r>
      <w:bookmarkEnd w:id="1"/>
    </w:p>
    <w:p>
      <w:pPr>
        <w:ind w:left="-567" w:right="-801"/>
        <w:rPr>
          <w:rFonts w:ascii="Arial" w:hAnsi="Arial" w:cs="Arial"/>
          <w:sz w:val="6"/>
        </w:rPr>
      </w:pPr>
    </w:p>
    <w:p>
      <w:pPr>
        <w:pStyle w:val="Default"/>
        <w:ind w:left="-567" w:right="-801"/>
        <w:jc w:val="both"/>
        <w:rPr>
          <w:rFonts w:ascii="Arial" w:eastAsiaTheme="minorHAnsi" w:hAnsi="Arial" w:cs="Arial"/>
          <w:color w:val="0D0D0D" w:themeColor="text1" w:themeTint="F2"/>
          <w:sz w:val="22"/>
          <w:szCs w:val="22"/>
          <w:lang w:eastAsia="es-AR"/>
        </w:rPr>
      </w:pPr>
      <w:r>
        <w:rPr>
          <w:rFonts w:ascii="Arial" w:eastAsiaTheme="minorHAnsi" w:hAnsi="Arial" w:cs="Arial"/>
          <w:color w:val="0D0D0D" w:themeColor="text1" w:themeTint="F2"/>
          <w:sz w:val="22"/>
          <w:szCs w:val="22"/>
          <w:lang w:eastAsia="es-AR"/>
        </w:rPr>
        <w:t xml:space="preserve">El presente diagnóstico da cuenta de los elementos estratégicos que dieron origen a los cambios en el Programa presupuestario de </w:t>
      </w:r>
      <w:r>
        <w:rPr>
          <w:rFonts w:ascii="Arial" w:hAnsi="Arial" w:cs="Arial"/>
          <w:color w:val="0D0D0D" w:themeColor="text1" w:themeTint="F2"/>
          <w:lang w:eastAsia="es-AR"/>
        </w:rPr>
        <w:t>Servicios para la Calidad en Educación Básica</w:t>
      </w:r>
      <w:r>
        <w:rPr>
          <w:rFonts w:ascii="Arial" w:eastAsiaTheme="minorHAnsi" w:hAnsi="Arial" w:cs="Arial"/>
          <w:color w:val="0D0D0D" w:themeColor="text1" w:themeTint="F2"/>
          <w:sz w:val="22"/>
          <w:szCs w:val="22"/>
          <w:lang w:eastAsia="es-AR"/>
        </w:rPr>
        <w:t xml:space="preserve">, conforme a la Metodología del Marco Lógico. </w:t>
      </w:r>
    </w:p>
    <w:p>
      <w:pPr>
        <w:pStyle w:val="Default"/>
        <w:ind w:left="-567" w:right="-801"/>
        <w:jc w:val="both"/>
        <w:rPr>
          <w:rFonts w:ascii="Arial" w:eastAsiaTheme="minorHAnsi" w:hAnsi="Arial" w:cs="Arial"/>
          <w:color w:val="0D0D0D" w:themeColor="text1" w:themeTint="F2"/>
          <w:sz w:val="22"/>
          <w:szCs w:val="22"/>
          <w:lang w:eastAsia="es-AR"/>
        </w:rPr>
      </w:pPr>
      <w:r>
        <w:rPr>
          <w:rFonts w:ascii="Arial" w:eastAsiaTheme="minorHAnsi" w:hAnsi="Arial" w:cs="Arial"/>
          <w:color w:val="0D0D0D" w:themeColor="text1" w:themeTint="F2"/>
          <w:sz w:val="22"/>
          <w:szCs w:val="22"/>
          <w:lang w:eastAsia="es-AR"/>
        </w:rPr>
        <w:t xml:space="preserve">En el documento se incluye el análisis de las situaciones problemáticas que enfrenta el Organismo, la identificación de necesidades, considerando los antecedentes y el contexto que enmarca la Educación Básica en la Entidad. </w:t>
      </w:r>
    </w:p>
    <w:p>
      <w:pPr>
        <w:pStyle w:val="Default"/>
        <w:ind w:left="-567" w:right="-801"/>
        <w:jc w:val="both"/>
        <w:rPr>
          <w:rFonts w:ascii="Arial" w:eastAsiaTheme="minorHAnsi" w:hAnsi="Arial" w:cs="Arial"/>
          <w:color w:val="0D0D0D" w:themeColor="text1" w:themeTint="F2"/>
          <w:sz w:val="22"/>
          <w:szCs w:val="22"/>
          <w:lang w:eastAsia="es-AR"/>
        </w:rPr>
      </w:pPr>
      <w:r>
        <w:rPr>
          <w:rFonts w:ascii="Arial" w:eastAsiaTheme="minorHAnsi" w:hAnsi="Arial" w:cs="Arial"/>
          <w:color w:val="0D0D0D" w:themeColor="text1" w:themeTint="F2"/>
          <w:sz w:val="22"/>
          <w:szCs w:val="22"/>
          <w:lang w:eastAsia="es-AR"/>
        </w:rPr>
        <w:t xml:space="preserve">De igual forma, se presenta un análisis de los objetivos que debieron considerarse para contribuir tanto al Plan Estatal de Desarrollo como al Plan Sectorial de Educación en la resolución de las problemáticas presentadas en el sector educativo, a través de la identificación de las posibles causas y efectos que den respuesta a las demandas de la población directamente involucrada. </w:t>
      </w:r>
    </w:p>
    <w:p>
      <w:pPr>
        <w:pStyle w:val="Default"/>
        <w:ind w:left="-567" w:right="-801"/>
        <w:jc w:val="both"/>
        <w:rPr>
          <w:rFonts w:ascii="Arial" w:eastAsiaTheme="minorHAnsi" w:hAnsi="Arial" w:cs="Arial"/>
          <w:color w:val="0D0D0D" w:themeColor="text1" w:themeTint="F2"/>
          <w:sz w:val="22"/>
          <w:szCs w:val="22"/>
          <w:lang w:eastAsia="es-AR"/>
        </w:rPr>
      </w:pPr>
      <w:r>
        <w:rPr>
          <w:rFonts w:ascii="Arial" w:eastAsiaTheme="minorHAnsi" w:hAnsi="Arial" w:cs="Arial"/>
          <w:color w:val="0D0D0D" w:themeColor="text1" w:themeTint="F2"/>
          <w:sz w:val="22"/>
          <w:szCs w:val="22"/>
          <w:lang w:eastAsia="es-AR"/>
        </w:rPr>
        <w:t>Con esto, se busca desarrollar acciones pertinentes para mejorar la toma de decisiones en materia presupuestaria orientada a los resultados y mejorar el desempeño del programa, fortaleciendo los procesos internos en todos los ámbitos, así como en materia de transparencia y rendición de cuentas.</w:t>
      </w:r>
    </w:p>
    <w:p>
      <w:pPr>
        <w:pStyle w:val="Ttulo1"/>
        <w:numPr>
          <w:ilvl w:val="0"/>
          <w:numId w:val="118"/>
        </w:numPr>
        <w:spacing w:line="276" w:lineRule="auto"/>
        <w:ind w:left="-567" w:right="-801" w:firstLine="0"/>
        <w:rPr>
          <w:rFonts w:ascii="Arial" w:hAnsi="Arial" w:cs="Arial"/>
          <w:i/>
          <w:sz w:val="24"/>
          <w:lang w:val="es-MX" w:eastAsia="es-AR"/>
        </w:rPr>
      </w:pPr>
      <w:bookmarkStart w:id="2" w:name="_Toc121749422"/>
      <w:r>
        <w:rPr>
          <w:rFonts w:ascii="Arial" w:hAnsi="Arial" w:cs="Arial"/>
          <w:i/>
          <w:sz w:val="24"/>
          <w:lang w:val="es-MX" w:eastAsia="es-AR"/>
        </w:rPr>
        <w:lastRenderedPageBreak/>
        <w:t>ANTECEDENTES</w:t>
      </w:r>
      <w:bookmarkEnd w:id="2"/>
    </w:p>
    <w:p>
      <w:pPr>
        <w:pStyle w:val="Ttulo1"/>
        <w:spacing w:line="276" w:lineRule="auto"/>
        <w:ind w:left="-567" w:right="-801"/>
        <w:rPr>
          <w:rFonts w:ascii="Arial" w:hAnsi="Arial" w:cs="Arial"/>
          <w:i/>
          <w:sz w:val="24"/>
          <w:lang w:val="es-MX" w:eastAsia="es-AR"/>
        </w:rPr>
      </w:pPr>
    </w:p>
    <w:p>
      <w:pPr>
        <w:ind w:left="-567" w:right="-801"/>
        <w:jc w:val="both"/>
        <w:rPr>
          <w:rFonts w:ascii="Arial" w:hAnsi="Arial" w:cs="Arial"/>
        </w:rPr>
      </w:pPr>
      <w:r>
        <w:rPr>
          <w:rFonts w:ascii="Arial" w:hAnsi="Arial" w:cs="Arial"/>
          <w:color w:val="0D0D0D" w:themeColor="text1" w:themeTint="F2"/>
          <w:lang w:val="es-MX" w:eastAsia="es-AR"/>
        </w:rPr>
        <w:t>El programa 2E208C1 Servicios para la Calidad en Educación Básica pertenece a los Servicios Educativos del Estado de Chihuahua (SEECH), opera con enfoque de Presupuesto basado en Resultados, bajo la Metodología del Marco Lógico, el cual inició operaciones a partir del ejercicio fiscal 2010</w:t>
      </w:r>
      <w:r>
        <w:rPr>
          <w:rFonts w:ascii="Arial" w:hAnsi="Arial" w:cs="Arial"/>
        </w:rPr>
        <w:t xml:space="preserve"> a la fecha. Desde su creación en el año de 1992 hasta el año 2010 el Organismo se regía bajo la </w:t>
      </w:r>
      <w:proofErr w:type="spellStart"/>
      <w:r>
        <w:rPr>
          <w:rFonts w:ascii="Arial" w:hAnsi="Arial" w:cs="Arial"/>
        </w:rPr>
        <w:t>presupuestación</w:t>
      </w:r>
      <w:proofErr w:type="spellEnd"/>
      <w:r>
        <w:rPr>
          <w:rFonts w:ascii="Arial" w:hAnsi="Arial" w:cs="Arial"/>
        </w:rPr>
        <w:t xml:space="preserve"> base cero. A partir del enfoque </w:t>
      </w:r>
      <w:proofErr w:type="spellStart"/>
      <w:r>
        <w:rPr>
          <w:rFonts w:ascii="Arial" w:hAnsi="Arial" w:cs="Arial"/>
        </w:rPr>
        <w:t>PbR</w:t>
      </w:r>
      <w:proofErr w:type="spellEnd"/>
      <w:r>
        <w:rPr>
          <w:rFonts w:ascii="Arial" w:hAnsi="Arial" w:cs="Arial"/>
        </w:rPr>
        <w:t xml:space="preserve"> el programa ha mostrado cambios en su estructura en función de los objetivos que se requieren alcanzar y que deben estar alineados a los objetivos plasmados en los Planes Estatales y Nacionales vigentes. En el cuadro siguiente se muestra cuáles han sido los propósitos  establecidos a través de los últimos años:</w:t>
      </w:r>
    </w:p>
    <w:tbl>
      <w:tblPr>
        <w:tblW w:w="10507" w:type="dxa"/>
        <w:tblInd w:w="-851" w:type="dxa"/>
        <w:tblLook w:val="04A0" w:firstRow="1" w:lastRow="0" w:firstColumn="1" w:lastColumn="0" w:noHBand="0" w:noVBand="1"/>
      </w:tblPr>
      <w:tblGrid>
        <w:gridCol w:w="760"/>
        <w:gridCol w:w="1084"/>
        <w:gridCol w:w="2693"/>
        <w:gridCol w:w="5020"/>
        <w:gridCol w:w="950"/>
      </w:tblGrid>
      <w:tr>
        <w:trPr>
          <w:trHeight w:val="540"/>
        </w:trPr>
        <w:tc>
          <w:tcPr>
            <w:tcW w:w="760" w:type="dxa"/>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color w:val="FFFFFF"/>
                <w:lang w:val="en-US"/>
              </w:rPr>
            </w:pPr>
            <w:r>
              <w:rPr>
                <w:rFonts w:ascii="Calibri" w:eastAsia="Times New Roman" w:hAnsi="Calibri" w:cs="Calibri"/>
                <w:color w:val="FFFFFF"/>
                <w:lang w:val="es-MX"/>
              </w:rPr>
              <w:t>Año</w:t>
            </w:r>
          </w:p>
        </w:tc>
        <w:tc>
          <w:tcPr>
            <w:tcW w:w="1084" w:type="dxa"/>
            <w:tcBorders>
              <w:top w:val="nil"/>
              <w:left w:val="nil"/>
              <w:bottom w:val="nil"/>
              <w:right w:val="nil"/>
            </w:tcBorders>
            <w:shd w:val="clear" w:color="000000" w:fill="6600CC"/>
            <w:vAlign w:val="center"/>
            <w:hideMark/>
          </w:tcPr>
          <w:p>
            <w:pPr>
              <w:spacing w:after="0" w:line="240" w:lineRule="auto"/>
              <w:jc w:val="center"/>
              <w:rPr>
                <w:rFonts w:ascii="Calibri" w:eastAsia="Times New Roman" w:hAnsi="Calibri" w:cs="Calibri"/>
                <w:color w:val="FFFFFF"/>
                <w:sz w:val="20"/>
                <w:szCs w:val="20"/>
                <w:lang w:val="en-US"/>
              </w:rPr>
            </w:pPr>
            <w:r>
              <w:rPr>
                <w:rFonts w:ascii="Calibri" w:eastAsia="Times New Roman" w:hAnsi="Calibri" w:cs="Calibri"/>
                <w:color w:val="FFFFFF"/>
                <w:sz w:val="20"/>
                <w:szCs w:val="20"/>
                <w:lang w:val="es-MX"/>
              </w:rPr>
              <w:t xml:space="preserve">Clave del </w:t>
            </w:r>
            <w:proofErr w:type="spellStart"/>
            <w:r>
              <w:rPr>
                <w:rFonts w:ascii="Calibri" w:eastAsia="Times New Roman" w:hAnsi="Calibri" w:cs="Calibri"/>
                <w:color w:val="FFFFFF"/>
                <w:sz w:val="20"/>
                <w:szCs w:val="20"/>
                <w:lang w:val="es-MX"/>
              </w:rPr>
              <w:t>Pp</w:t>
            </w:r>
            <w:proofErr w:type="spellEnd"/>
          </w:p>
        </w:tc>
        <w:tc>
          <w:tcPr>
            <w:tcW w:w="2693" w:type="dxa"/>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color w:val="FFFFFF"/>
                <w:sz w:val="20"/>
                <w:szCs w:val="20"/>
                <w:lang w:val="en-US"/>
              </w:rPr>
            </w:pPr>
            <w:r>
              <w:rPr>
                <w:rFonts w:ascii="Calibri" w:eastAsia="Times New Roman" w:hAnsi="Calibri" w:cs="Calibri"/>
                <w:color w:val="FFFFFF"/>
                <w:sz w:val="20"/>
                <w:szCs w:val="20"/>
                <w:lang w:val="es-MX"/>
              </w:rPr>
              <w:t>Nombre del Programa</w:t>
            </w:r>
          </w:p>
        </w:tc>
        <w:tc>
          <w:tcPr>
            <w:tcW w:w="5020" w:type="dxa"/>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color w:val="FFFFFF"/>
                <w:sz w:val="20"/>
                <w:szCs w:val="20"/>
                <w:lang w:val="en-US"/>
              </w:rPr>
            </w:pPr>
            <w:r>
              <w:rPr>
                <w:rFonts w:ascii="Calibri" w:eastAsia="Times New Roman" w:hAnsi="Calibri" w:cs="Calibri"/>
                <w:color w:val="FFFFFF"/>
                <w:sz w:val="20"/>
                <w:szCs w:val="20"/>
                <w:lang w:val="es-MX"/>
              </w:rPr>
              <w:t>Propósito (Resumen narrativo)</w:t>
            </w:r>
          </w:p>
        </w:tc>
        <w:tc>
          <w:tcPr>
            <w:tcW w:w="950" w:type="dxa"/>
            <w:tcBorders>
              <w:top w:val="nil"/>
              <w:left w:val="nil"/>
              <w:bottom w:val="nil"/>
              <w:right w:val="nil"/>
            </w:tcBorders>
            <w:shd w:val="clear" w:color="000000" w:fill="6600CC"/>
            <w:vAlign w:val="center"/>
            <w:hideMark/>
          </w:tcPr>
          <w:p>
            <w:pPr>
              <w:spacing w:after="0" w:line="240" w:lineRule="auto"/>
              <w:jc w:val="center"/>
              <w:rPr>
                <w:rFonts w:ascii="Calibri" w:eastAsia="Times New Roman" w:hAnsi="Calibri" w:cs="Calibri"/>
                <w:color w:val="FFFFFF"/>
                <w:sz w:val="14"/>
                <w:szCs w:val="14"/>
                <w:lang w:val="es-ES"/>
              </w:rPr>
            </w:pPr>
            <w:r>
              <w:rPr>
                <w:rFonts w:ascii="Calibri" w:eastAsia="Times New Roman" w:hAnsi="Calibri" w:cs="Calibri"/>
                <w:color w:val="FFFFFF"/>
                <w:sz w:val="14"/>
                <w:szCs w:val="14"/>
                <w:lang w:val="es-MX"/>
              </w:rPr>
              <w:t xml:space="preserve">Núm. de Indicadores del </w:t>
            </w:r>
            <w:proofErr w:type="spellStart"/>
            <w:r>
              <w:rPr>
                <w:rFonts w:ascii="Calibri" w:eastAsia="Times New Roman" w:hAnsi="Calibri" w:cs="Calibri"/>
                <w:color w:val="FFFFFF"/>
                <w:sz w:val="14"/>
                <w:szCs w:val="14"/>
                <w:lang w:val="es-MX"/>
              </w:rPr>
              <w:t>Pp</w:t>
            </w:r>
            <w:proofErr w:type="spellEnd"/>
          </w:p>
        </w:tc>
      </w:tr>
      <w:tr>
        <w:trPr>
          <w:trHeight w:val="47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2013</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1116800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LA EDUCACIÓN BÁSICA</w:t>
            </w:r>
          </w:p>
        </w:tc>
        <w:tc>
          <w:tcPr>
            <w:tcW w:w="5020"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Servicios educativos del estado de chihuahua proporciona educación básica de calidad.</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50</w:t>
            </w:r>
          </w:p>
        </w:tc>
      </w:tr>
      <w:tr>
        <w:trPr>
          <w:trHeight w:val="98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2014</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1116800</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LA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 xml:space="preserve">Los niños y niñas que cursan la educación primaria y secundaria federal transferido en la entidad, incrementan el índice de eficiencia terminal y disminuyen el porcentaje de reprobación en condiciones de equidad en el estado. </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85</w:t>
            </w:r>
          </w:p>
        </w:tc>
      </w:tr>
      <w:tr>
        <w:trPr>
          <w:trHeight w:val="8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2015</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1116800</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LA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y los alumnos que cursan la educación primaria y secundaria federal transferido en la entidad, incrementan el índice de eficiencia terminal en condiciones de equidad en el estado.</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89</w:t>
            </w:r>
          </w:p>
        </w:tc>
      </w:tr>
      <w:tr>
        <w:trPr>
          <w:trHeight w:val="41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2016</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1116800</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LA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los alumnos concluyen la educación básica escolarizada del subsistema federal transferido</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40</w:t>
            </w:r>
          </w:p>
        </w:tc>
      </w:tr>
      <w:tr>
        <w:trPr>
          <w:trHeight w:val="6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2017</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1116800</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LA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los alumnos concluyen la educación básica escolarizada del subsistema federal transferido</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34</w:t>
            </w:r>
          </w:p>
        </w:tc>
      </w:tr>
      <w:tr>
        <w:trPr>
          <w:trHeight w:val="71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2018</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2E04218</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LOS SERVICIOS DE LA EDUCACIÓN BÁSICA 2018</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los alumnos del subsistema federal transferido concluyen la educación básica escolarizada</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13</w:t>
            </w:r>
          </w:p>
        </w:tc>
      </w:tr>
      <w:tr>
        <w:trPr>
          <w:trHeight w:val="82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2019</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2E04219</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LOS SERVICIOS DE LA EDUCACIÓN BÁSICA 2019</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los alumnos del subsistema federal transferido concluyen la educación básica escolarizada</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14</w:t>
            </w:r>
          </w:p>
        </w:tc>
      </w:tr>
      <w:tr>
        <w:trPr>
          <w:trHeight w:val="70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2020</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2E042C1</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LOS SERVICIOS DE LA EDUCACIÓN BÁSICA 2020</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los alumnos del subsistema federal transferido concluyen la educación básica escolarizada</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w:t>
            </w:r>
          </w:p>
        </w:tc>
      </w:tr>
      <w:tr>
        <w:trPr>
          <w:trHeight w:val="70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2021</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2E042C1</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LOS SERVICIOS DE LA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los alumnos del subsistema federal transferido concluyen la educación básica escolarizada</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12</w:t>
            </w:r>
          </w:p>
        </w:tc>
      </w:tr>
      <w:tr>
        <w:trPr>
          <w:trHeight w:val="71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2022</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2E042C1</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CALIDAD EN LOS SERVICIOS DE LA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alumnas y alumnos de las escuelas federal transferido concluyen la educación básica escolarizada</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11</w:t>
            </w:r>
          </w:p>
        </w:tc>
      </w:tr>
      <w:tr>
        <w:trPr>
          <w:trHeight w:val="68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2023</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2E208C1</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MX"/>
              </w:rPr>
              <w:t>SERVICIOS PARA LA CALIDAD EN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MX"/>
              </w:rPr>
              <w:t>Las escuelas públicas de educación básica cuentan con ambientes escolares favorables para el aprendizaje.</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s-MX"/>
              </w:rPr>
              <w:t>13</w:t>
            </w:r>
          </w:p>
        </w:tc>
      </w:tr>
      <w:tr>
        <w:trPr>
          <w:trHeight w:val="70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2024</w:t>
            </w:r>
          </w:p>
        </w:tc>
        <w:tc>
          <w:tcPr>
            <w:tcW w:w="10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2E208C1</w:t>
            </w:r>
          </w:p>
        </w:tc>
        <w:tc>
          <w:tcPr>
            <w:tcW w:w="269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SERVICIOS PARA LA CALIDAD EN EDUCACIÓN BÁSICA</w:t>
            </w:r>
          </w:p>
        </w:tc>
        <w:tc>
          <w:tcPr>
            <w:tcW w:w="5020" w:type="dxa"/>
            <w:tcBorders>
              <w:top w:val="nil"/>
              <w:left w:val="nil"/>
              <w:bottom w:val="single" w:sz="4" w:space="0" w:color="auto"/>
              <w:right w:val="single" w:sz="4" w:space="0" w:color="auto"/>
            </w:tcBorders>
            <w:shd w:val="clear" w:color="auto" w:fill="auto"/>
            <w:hideMark/>
          </w:tcPr>
          <w:p>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Las escuelas públicas de educación básica presentan ambientes escolares favorables para el aprendizaje.</w:t>
            </w:r>
          </w:p>
        </w:tc>
        <w:tc>
          <w:tcPr>
            <w:tcW w:w="95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19</w:t>
            </w:r>
          </w:p>
        </w:tc>
      </w:tr>
      <w:tr>
        <w:trPr>
          <w:trHeight w:val="300"/>
        </w:trPr>
        <w:tc>
          <w:tcPr>
            <w:tcW w:w="9557" w:type="dxa"/>
            <w:gridSpan w:val="4"/>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Fuente: Departamento de Seguimiento Programático y Presupuestal</w:t>
            </w:r>
          </w:p>
        </w:tc>
        <w:tc>
          <w:tcPr>
            <w:tcW w:w="95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ES"/>
              </w:rPr>
            </w:pPr>
          </w:p>
        </w:tc>
      </w:tr>
    </w:tbl>
    <w:p>
      <w:pPr>
        <w:ind w:left="-567" w:right="-801"/>
        <w:jc w:val="both"/>
        <w:rPr>
          <w:rFonts w:ascii="Arial" w:hAnsi="Arial" w:cs="Arial"/>
          <w:lang w:val="es-ES"/>
        </w:rPr>
      </w:pPr>
    </w:p>
    <w:p>
      <w:pPr>
        <w:spacing w:after="200" w:line="276" w:lineRule="auto"/>
        <w:ind w:left="-567" w:right="-801"/>
        <w:jc w:val="both"/>
        <w:rPr>
          <w:rFonts w:ascii="Arial" w:hAnsi="Arial" w:cs="Arial"/>
          <w:color w:val="0D0D0D" w:themeColor="text1" w:themeTint="F2"/>
          <w:lang w:val="es-MX" w:eastAsia="es-AR"/>
        </w:rPr>
      </w:pPr>
      <w:r>
        <w:rPr>
          <w:rFonts w:ascii="Arial" w:hAnsi="Arial" w:cs="Arial"/>
          <w:color w:val="0D0D0D" w:themeColor="text1" w:themeTint="F2"/>
          <w:lang w:val="es-MX" w:eastAsia="es-AR"/>
        </w:rPr>
        <w:t xml:space="preserve">Para el ejercicio fiscal 2024, el Programa tiene el nombre de Servicios para la Calidad en Educación Básica </w:t>
      </w:r>
      <w:r>
        <w:rPr>
          <w:rFonts w:ascii="Arial" w:hAnsi="Arial" w:cs="Arial"/>
        </w:rPr>
        <w:t xml:space="preserve">con la clave programática 2E208C1, </w:t>
      </w:r>
      <w:r>
        <w:rPr>
          <w:rFonts w:ascii="Arial" w:hAnsi="Arial" w:cs="Arial"/>
          <w:color w:val="0D0D0D" w:themeColor="text1" w:themeTint="F2"/>
          <w:lang w:val="es-MX" w:eastAsia="es-AR"/>
        </w:rPr>
        <w:t>su definición se establece como “Brindar los servicios educativos de calidad para las alumnas y alumnos de educación básica en escuelas públicas, a través de ambientes escolares propicios para el aprendizaje, con inclusión, equidad y perspectiva de género que generen armonía social”.</w:t>
      </w:r>
    </w:p>
    <w:p>
      <w:pPr>
        <w:spacing w:after="200" w:line="276" w:lineRule="auto"/>
        <w:ind w:left="-567" w:right="-801"/>
        <w:jc w:val="both"/>
        <w:rPr>
          <w:rFonts w:ascii="Arial" w:hAnsi="Arial" w:cs="Arial"/>
          <w:color w:val="0D0D0D" w:themeColor="text1" w:themeTint="F2"/>
          <w:lang w:val="es-ES" w:eastAsia="es-AR"/>
        </w:rPr>
      </w:pPr>
      <w:r>
        <w:rPr>
          <w:rFonts w:ascii="Arial" w:hAnsi="Arial" w:cs="Arial"/>
          <w:color w:val="0D0D0D" w:themeColor="text1" w:themeTint="F2"/>
          <w:lang w:val="es-MX" w:eastAsia="es-AR"/>
        </w:rPr>
        <w:t xml:space="preserve">El Programa opera bajo un marco normativo robusto, entre el que se destacan los “Lineamientos Generales de la Administración Pública Estatal para Regular los Procesos de Planeación, Programación y </w:t>
      </w:r>
      <w:proofErr w:type="spellStart"/>
      <w:r>
        <w:rPr>
          <w:rFonts w:ascii="Arial" w:hAnsi="Arial" w:cs="Arial"/>
          <w:color w:val="0D0D0D" w:themeColor="text1" w:themeTint="F2"/>
          <w:lang w:val="es-MX" w:eastAsia="es-AR"/>
        </w:rPr>
        <w:t>Presupuestación</w:t>
      </w:r>
      <w:proofErr w:type="spellEnd"/>
      <w:r>
        <w:rPr>
          <w:rFonts w:ascii="Arial" w:hAnsi="Arial" w:cs="Arial"/>
          <w:color w:val="0D0D0D" w:themeColor="text1" w:themeTint="F2"/>
          <w:lang w:val="es-MX" w:eastAsia="es-AR"/>
        </w:rPr>
        <w:t xml:space="preserve"> para el Ejercicio Fiscal en curso”, los “Lineamientos del Gasto de Operación del Fondo de Aportaciones para la Nómina Educativa y Gasto Operativo”, el “Manual de Organización de Servicios Educativos del Gobierno de Chihuahua.”, las “Normas Específicas de Control Escolar relativas a la Inscripción, Reinscripción, Acreditación, Promoción, Regularización y Certificación en la Educación Básica” y el “Manual de Criterios y procedimientos para las Inscripciones y Preinscripciones de Febrero en Educación Básica”.</w:t>
      </w:r>
    </w:p>
    <w:p>
      <w:pPr>
        <w:pStyle w:val="Ttulo1"/>
        <w:numPr>
          <w:ilvl w:val="0"/>
          <w:numId w:val="118"/>
        </w:numPr>
        <w:spacing w:line="276" w:lineRule="auto"/>
        <w:ind w:left="-567" w:right="-801" w:firstLine="0"/>
        <w:rPr>
          <w:rFonts w:ascii="Arial" w:hAnsi="Arial" w:cs="Arial"/>
          <w:i/>
          <w:sz w:val="24"/>
          <w:lang w:val="es-MX" w:eastAsia="es-AR"/>
        </w:rPr>
      </w:pPr>
      <w:bookmarkStart w:id="3" w:name="_Toc121749423"/>
      <w:r>
        <w:rPr>
          <w:rFonts w:ascii="Arial" w:hAnsi="Arial" w:cs="Arial"/>
          <w:i/>
          <w:sz w:val="24"/>
          <w:lang w:val="es-MX" w:eastAsia="es-AR"/>
        </w:rPr>
        <w:t>IDENTIFICACIÓN, DEFINICIÓN Y DESCRIPCIÓN DEL PROBLEMA O NECESIDAD</w:t>
      </w:r>
      <w:bookmarkEnd w:id="3"/>
    </w:p>
    <w:p>
      <w:pPr>
        <w:pStyle w:val="Ttulo2"/>
        <w:numPr>
          <w:ilvl w:val="1"/>
          <w:numId w:val="118"/>
        </w:numPr>
        <w:spacing w:line="276" w:lineRule="auto"/>
        <w:ind w:left="-567" w:right="-801" w:firstLine="0"/>
        <w:rPr>
          <w:rFonts w:ascii="Arial" w:hAnsi="Arial" w:cs="Arial"/>
        </w:rPr>
      </w:pPr>
      <w:bookmarkStart w:id="4" w:name="_Toc121749424"/>
      <w:r>
        <w:rPr>
          <w:rFonts w:ascii="Arial" w:hAnsi="Arial" w:cs="Arial"/>
        </w:rPr>
        <w:t>Definición del problema</w:t>
      </w:r>
      <w:bookmarkEnd w:id="4"/>
    </w:p>
    <w:p>
      <w:pPr>
        <w:spacing w:line="276" w:lineRule="auto"/>
        <w:ind w:left="-567" w:right="-801"/>
        <w:jc w:val="both"/>
        <w:rPr>
          <w:rFonts w:ascii="Arial" w:hAnsi="Arial" w:cs="Arial"/>
          <w:color w:val="0D0D0D" w:themeColor="text1" w:themeTint="F2"/>
          <w:lang w:val="es-MX" w:eastAsia="es-AR"/>
        </w:rPr>
      </w:pPr>
      <w:r>
        <w:rPr>
          <w:rFonts w:ascii="Arial" w:hAnsi="Arial" w:cs="Arial"/>
        </w:rPr>
        <w:t>La problemática central que el Programa busca solucionar a través de su ámbito de actuación se encuentra definida como:</w:t>
      </w:r>
      <w:r>
        <w:rPr>
          <w:rFonts w:ascii="Arial" w:hAnsi="Arial" w:cs="Arial"/>
          <w:color w:val="0D0D0D" w:themeColor="text1" w:themeTint="F2"/>
          <w:lang w:val="es-MX" w:eastAsia="es-AR"/>
        </w:rPr>
        <w:t xml:space="preserve"> “Las escuelas públicas de educación básica presentan ambientes escolares desfavorables para el aprendizaje.”</w:t>
      </w:r>
    </w:p>
    <w:p>
      <w:pPr>
        <w:pStyle w:val="Ttulo2"/>
        <w:numPr>
          <w:ilvl w:val="1"/>
          <w:numId w:val="118"/>
        </w:numPr>
        <w:spacing w:line="276" w:lineRule="auto"/>
        <w:ind w:left="-567" w:right="-801" w:firstLine="0"/>
        <w:rPr>
          <w:rFonts w:ascii="Arial" w:hAnsi="Arial" w:cs="Arial"/>
        </w:rPr>
      </w:pPr>
      <w:bookmarkStart w:id="5" w:name="_Toc121749425"/>
      <w:r>
        <w:rPr>
          <w:rFonts w:ascii="Arial" w:hAnsi="Arial" w:cs="Arial"/>
        </w:rPr>
        <w:t>Estado actual del problema</w:t>
      </w:r>
      <w:bookmarkEnd w:id="5"/>
      <w:r>
        <w:rPr>
          <w:rFonts w:ascii="Arial" w:hAnsi="Arial" w:cs="Arial"/>
        </w:rPr>
        <w:t xml:space="preserve"> </w:t>
      </w:r>
    </w:p>
    <w:p>
      <w:pPr>
        <w:spacing w:line="276" w:lineRule="auto"/>
        <w:ind w:left="-567" w:right="-801"/>
        <w:jc w:val="both"/>
        <w:rPr>
          <w:rFonts w:ascii="Arial" w:hAnsi="Arial" w:cs="Arial"/>
          <w:lang w:val="es-MX"/>
        </w:rPr>
      </w:pPr>
      <w:r>
        <w:rPr>
          <w:rFonts w:ascii="Arial" w:hAnsi="Arial" w:cs="Arial"/>
        </w:rPr>
        <w:t>La educación básica es un servicio educativo que los estados orientan hacia la población que desea ingresar, permanecer y terminar su educación sin importar su edad. Abarca desde el nivel inicial hasta el nivel secundario. Catorce de los diecinueve países que conforman la región latinoamericana utilizan la denominación “educación básica” para referirse a esa etapa educativa de sus sistemas nacionales de educación</w:t>
      </w:r>
      <w:r>
        <w:rPr>
          <w:rFonts w:ascii="Arial" w:hAnsi="Arial" w:cs="Arial"/>
          <w:lang w:val="es-MX"/>
        </w:rPr>
        <w:t>.</w:t>
      </w:r>
      <w:r>
        <w:rPr>
          <w:rFonts w:ascii="Arial" w:hAnsi="Arial" w:cs="Arial"/>
          <w:i/>
          <w:iCs/>
          <w:shd w:val="clear" w:color="auto" w:fill="FFFFFF"/>
          <w:vertAlign w:val="superscript"/>
          <w:lang w:val="es-MX"/>
        </w:rPr>
        <w:footnoteReference w:id="2"/>
      </w:r>
    </w:p>
    <w:p>
      <w:pPr>
        <w:spacing w:line="276" w:lineRule="auto"/>
        <w:ind w:left="-567" w:right="-801"/>
        <w:jc w:val="both"/>
        <w:rPr>
          <w:rFonts w:ascii="Arial" w:eastAsia="Times New Roman" w:hAnsi="Arial" w:cs="Arial"/>
          <w:lang w:eastAsia="es-ES"/>
        </w:rPr>
      </w:pPr>
      <w:r>
        <w:rPr>
          <w:rFonts w:ascii="Arial" w:eastAsia="Times New Roman" w:hAnsi="Arial" w:cs="Arial"/>
          <w:lang w:eastAsia="es-ES"/>
        </w:rPr>
        <w:t>A partir del año 2019 con la reforma al artículo 3° Constitucional</w:t>
      </w:r>
      <w:r>
        <w:rPr>
          <w:rFonts w:ascii="Arial" w:eastAsia="Times New Roman" w:hAnsi="Arial" w:cs="Arial"/>
          <w:vertAlign w:val="superscript"/>
          <w:lang w:eastAsia="es-ES"/>
        </w:rPr>
        <w:footnoteReference w:id="3"/>
      </w:r>
      <w:r>
        <w:rPr>
          <w:rFonts w:ascii="Arial" w:eastAsia="Times New Roman" w:hAnsi="Arial" w:cs="Arial"/>
          <w:lang w:eastAsia="es-ES"/>
        </w:rPr>
        <w:t xml:space="preserve">, la educación inicial pasó a </w:t>
      </w:r>
      <w:r>
        <w:rPr>
          <w:rFonts w:ascii="Arial" w:eastAsia="Times New Roman" w:hAnsi="Arial" w:cs="Arial"/>
          <w:spacing w:val="-64"/>
          <w:lang w:eastAsia="es-ES"/>
        </w:rPr>
        <w:t xml:space="preserve"> </w:t>
      </w:r>
      <w:r>
        <w:rPr>
          <w:rFonts w:ascii="Arial" w:eastAsia="Times New Roman" w:hAnsi="Arial" w:cs="Arial"/>
          <w:lang w:eastAsia="es-ES"/>
        </w:rPr>
        <w:t>ser</w:t>
      </w:r>
      <w:r>
        <w:rPr>
          <w:rFonts w:ascii="Arial" w:eastAsia="Times New Roman" w:hAnsi="Arial" w:cs="Arial"/>
          <w:spacing w:val="-1"/>
          <w:lang w:eastAsia="es-ES"/>
        </w:rPr>
        <w:t xml:space="preserve"> </w:t>
      </w:r>
      <w:r>
        <w:rPr>
          <w:rFonts w:ascii="Arial" w:eastAsia="Times New Roman" w:hAnsi="Arial" w:cs="Arial"/>
          <w:lang w:eastAsia="es-ES"/>
        </w:rPr>
        <w:t>parte</w:t>
      </w:r>
      <w:r>
        <w:rPr>
          <w:rFonts w:ascii="Arial" w:eastAsia="Times New Roman" w:hAnsi="Arial" w:cs="Arial"/>
          <w:spacing w:val="-2"/>
          <w:lang w:eastAsia="es-ES"/>
        </w:rPr>
        <w:t xml:space="preserve"> </w:t>
      </w:r>
      <w:r>
        <w:rPr>
          <w:rFonts w:ascii="Arial" w:eastAsia="Times New Roman" w:hAnsi="Arial" w:cs="Arial"/>
          <w:lang w:eastAsia="es-ES"/>
        </w:rPr>
        <w:t>de</w:t>
      </w:r>
      <w:r>
        <w:rPr>
          <w:rFonts w:ascii="Arial" w:eastAsia="Times New Roman" w:hAnsi="Arial" w:cs="Arial"/>
          <w:spacing w:val="-2"/>
          <w:lang w:eastAsia="es-ES"/>
        </w:rPr>
        <w:t xml:space="preserve"> </w:t>
      </w:r>
      <w:r>
        <w:rPr>
          <w:rFonts w:ascii="Arial" w:eastAsia="Times New Roman" w:hAnsi="Arial" w:cs="Arial"/>
          <w:lang w:eastAsia="es-ES"/>
        </w:rPr>
        <w:t>la educación básica obligatoria.</w:t>
      </w:r>
    </w:p>
    <w:p>
      <w:pPr>
        <w:ind w:left="-567" w:right="-801"/>
        <w:jc w:val="both"/>
        <w:rPr>
          <w:rFonts w:ascii="Arial" w:hAnsi="Arial" w:cs="Arial"/>
        </w:rPr>
      </w:pPr>
      <w:r>
        <w:rPr>
          <w:rFonts w:ascii="Arial" w:hAnsi="Arial" w:cs="Arial"/>
        </w:rPr>
        <w:t>La educación básica es un servicio educativo que el estado orienta hacia la población que desea ingresar, permanecer y terminar su educación sin importar su edad. Abarca desde el nivel inicial hasta el nivel de secundaria. A continuación se detalla cada uno de los niveles que lo conforman:</w:t>
      </w:r>
    </w:p>
    <w:p>
      <w:pPr>
        <w:pStyle w:val="Textoindependiente"/>
        <w:spacing w:before="4"/>
        <w:ind w:left="-567" w:right="-801"/>
        <w:rPr>
          <w:rFonts w:cs="Arial"/>
          <w:lang w:val="es-ES_tradnl"/>
        </w:rPr>
      </w:pPr>
    </w:p>
    <w:p>
      <w:pPr>
        <w:pStyle w:val="Textoindependiente"/>
        <w:spacing w:before="4"/>
        <w:ind w:left="-567" w:right="-801"/>
        <w:rPr>
          <w:rFonts w:cs="Arial"/>
          <w:lang w:val="es-ES_tradnl"/>
        </w:rPr>
      </w:pPr>
    </w:p>
    <w:p>
      <w:pPr>
        <w:ind w:left="-567"/>
        <w:rPr>
          <w:rFonts w:ascii="Arial" w:hAnsi="Arial" w:cs="Arial"/>
          <w:b/>
        </w:rPr>
      </w:pPr>
      <w:bookmarkStart w:id="6" w:name="_Toc121226042"/>
      <w:r>
        <w:rPr>
          <w:rFonts w:ascii="Arial" w:hAnsi="Arial" w:cs="Arial"/>
          <w:b/>
        </w:rPr>
        <w:lastRenderedPageBreak/>
        <w:t>Educación inicial</w:t>
      </w:r>
      <w:bookmarkEnd w:id="6"/>
    </w:p>
    <w:p>
      <w:pPr>
        <w:pStyle w:val="Textoindependiente"/>
        <w:spacing w:before="165" w:line="259" w:lineRule="auto"/>
        <w:ind w:left="-567" w:right="-801"/>
        <w:jc w:val="both"/>
        <w:rPr>
          <w:rFonts w:eastAsiaTheme="minorHAnsi" w:cs="Arial"/>
          <w:lang w:val="es-ES_tradnl"/>
        </w:rPr>
      </w:pPr>
      <w:r>
        <w:rPr>
          <w:rFonts w:eastAsiaTheme="minorHAnsi" w:cs="Arial"/>
          <w:lang w:val="es-ES_tradnl"/>
        </w:rPr>
        <w:t>La población etaria de 0-2 años, del Consejo Nacional de Población (CONAPO) agosto 2018 a mitad de año, para el 2023 es de 184 mil 584 infantes, de los cuales 9 mil 498 son atendidos en la Entidad, las escuelas federal transferido otorgan el servicio educativo a 1 mil 338 infantes que representa 14.09% del servicio educativo brindado. Es importante señalar que se tiene una deuda educativa con poco más del 94% de la población.</w:t>
      </w:r>
    </w:p>
    <w:p>
      <w:pPr>
        <w:pStyle w:val="Textoindependiente"/>
        <w:spacing w:before="165" w:line="259" w:lineRule="auto"/>
        <w:ind w:left="-567" w:right="-801"/>
        <w:jc w:val="both"/>
        <w:rPr>
          <w:rFonts w:eastAsiaTheme="minorHAnsi" w:cs="Arial"/>
          <w:lang w:val="es-ES_tradnl"/>
        </w:rPr>
      </w:pPr>
      <w:r>
        <w:rPr>
          <w:rFonts w:eastAsiaTheme="minorHAnsi" w:cs="Arial"/>
          <w:lang w:val="es-ES_tradnl"/>
        </w:rPr>
        <w:t>En relación a la perspectiva de género la población etaria de 0-2 años, CONAPO agosto 2018 a mitad de año, se conforma de 93 mil 962 niños y 90 mil 622 niñas y la cobertura de las escuelas federal transferido fue de 681 niños y 657 niñas, lo que significa que en relación a la población etaria en el ciclo escolar 2022-2023 se realizó la cobertura igual entre la población de niñas y niños.</w:t>
      </w:r>
    </w:p>
    <w:p>
      <w:pPr>
        <w:pStyle w:val="Textoindependiente"/>
        <w:spacing w:before="165" w:line="259" w:lineRule="auto"/>
        <w:ind w:left="-567" w:right="-801"/>
        <w:jc w:val="both"/>
        <w:rPr>
          <w:rFonts w:eastAsiaTheme="minorHAnsi" w:cs="Arial"/>
          <w:lang w:val="es-ES_tradnl"/>
        </w:rPr>
      </w:pPr>
      <w:r>
        <w:rPr>
          <w:rFonts w:eastAsiaTheme="minorHAnsi" w:cs="Arial"/>
          <w:lang w:val="es-ES_tradnl"/>
        </w:rPr>
        <w:t>Una de las razones de la baja cobertura es que los hogares más pobres, es menos recurrente que las madres y padres se interesen en actividades que puedan contribuir al mejor desarrollo físico, cognitivo y psicosocial de sus hijos/as.</w:t>
      </w:r>
    </w:p>
    <w:p>
      <w:pPr>
        <w:pStyle w:val="Textoindependiente"/>
        <w:spacing w:before="165" w:line="259" w:lineRule="auto"/>
        <w:ind w:left="-567" w:right="-801"/>
        <w:jc w:val="both"/>
        <w:rPr>
          <w:rFonts w:eastAsiaTheme="minorHAnsi" w:cs="Arial"/>
          <w:lang w:val="es-ES_tradnl"/>
        </w:rPr>
      </w:pPr>
      <w:r>
        <w:rPr>
          <w:rFonts w:eastAsiaTheme="minorHAnsi" w:cs="Arial"/>
          <w:lang w:val="es-ES_tradnl"/>
        </w:rPr>
        <w:t>Para lograr la cobertura en este nivel, se requiere de una estrategia integral progresiva que garantice el derecho a una educación equitativa, inclusiva e intercultural.</w:t>
      </w:r>
    </w:p>
    <w:p>
      <w:pPr>
        <w:pStyle w:val="Textoindependiente"/>
        <w:spacing w:before="165" w:line="259" w:lineRule="auto"/>
        <w:ind w:left="-567" w:right="-801"/>
        <w:jc w:val="both"/>
        <w:rPr>
          <w:rFonts w:eastAsiaTheme="minorHAnsi" w:cs="Arial"/>
          <w:lang w:val="es-ES_tradnl"/>
        </w:rPr>
      </w:pPr>
    </w:p>
    <w:p>
      <w:pPr>
        <w:pStyle w:val="Textoindependiente"/>
        <w:ind w:left="-567" w:right="-801"/>
        <w:jc w:val="both"/>
        <w:rPr>
          <w:rFonts w:eastAsiaTheme="minorHAnsi" w:cs="Arial"/>
          <w:color w:val="000000"/>
          <w:lang w:val="es-ES_tradnl"/>
        </w:rPr>
      </w:pPr>
      <w:r>
        <w:rPr>
          <w:rFonts w:eastAsiaTheme="minorHAnsi" w:cs="Arial"/>
          <w:color w:val="000000"/>
          <w:lang w:val="es-ES_tradnl"/>
        </w:rPr>
        <w:t>De acuerdo con los datos de la población CONAPO agosto 2018 proyecciones a mitad de año, en el estado de Chihuahua para el año 2023 es la siguiente:</w:t>
      </w:r>
    </w:p>
    <w:p>
      <w:pPr>
        <w:pStyle w:val="Textoindependiente"/>
        <w:ind w:left="-567" w:right="249"/>
        <w:jc w:val="both"/>
        <w:rPr>
          <w:rFonts w:eastAsiaTheme="minorHAnsi" w:cs="Arial"/>
          <w:lang w:val="es-ES_tradnl"/>
        </w:rPr>
      </w:pPr>
    </w:p>
    <w:p>
      <w:pPr>
        <w:ind w:left="-567"/>
        <w:rPr>
          <w:rFonts w:ascii="Arial" w:hAnsi="Arial" w:cs="Arial"/>
        </w:rPr>
      </w:pPr>
      <w:r>
        <w:rPr>
          <w:rFonts w:ascii="Arial" w:hAnsi="Arial" w:cs="Arial"/>
        </w:rPr>
        <w:t>Cuadro 1. Cobertura en Educación Inicial</w:t>
      </w:r>
    </w:p>
    <w:tbl>
      <w:tblPr>
        <w:tblW w:w="10244" w:type="dxa"/>
        <w:tblInd w:w="-556" w:type="dxa"/>
        <w:tblLook w:val="04A0" w:firstRow="1" w:lastRow="0" w:firstColumn="1" w:lastColumn="0" w:noHBand="0" w:noVBand="1"/>
      </w:tblPr>
      <w:tblGrid>
        <w:gridCol w:w="802"/>
        <w:gridCol w:w="1360"/>
        <w:gridCol w:w="960"/>
        <w:gridCol w:w="2285"/>
        <w:gridCol w:w="958"/>
        <w:gridCol w:w="806"/>
        <w:gridCol w:w="1192"/>
        <w:gridCol w:w="792"/>
        <w:gridCol w:w="1089"/>
      </w:tblGrid>
      <w:tr>
        <w:trPr>
          <w:trHeight w:val="419"/>
        </w:trPr>
        <w:tc>
          <w:tcPr>
            <w:tcW w:w="802" w:type="dxa"/>
            <w:vMerge w:val="restart"/>
            <w:tcBorders>
              <w:top w:val="nil"/>
              <w:left w:val="nil"/>
              <w:bottom w:val="single" w:sz="8" w:space="0" w:color="auto"/>
              <w:right w:val="nil"/>
            </w:tcBorders>
            <w:shd w:val="clear" w:color="000000" w:fill="F2F2F2"/>
            <w:vAlign w:val="center"/>
            <w:hideMark/>
          </w:tcPr>
          <w:p>
            <w:pPr>
              <w:spacing w:after="0" w:line="240" w:lineRule="auto"/>
              <w:ind w:left="-120" w:firstLine="120"/>
              <w:jc w:val="center"/>
              <w:rPr>
                <w:rFonts w:ascii="Arial" w:eastAsia="Times New Roman" w:hAnsi="Arial" w:cs="Arial"/>
                <w:b/>
                <w:bCs/>
                <w:color w:val="000000"/>
                <w:sz w:val="14"/>
                <w:szCs w:val="14"/>
                <w:lang w:val="en-US"/>
              </w:rPr>
            </w:pPr>
            <w:r>
              <w:rPr>
                <w:rFonts w:ascii="Arial" w:eastAsia="Times New Roman" w:hAnsi="Arial" w:cs="Arial"/>
                <w:b/>
                <w:bCs/>
                <w:color w:val="000000"/>
                <w:sz w:val="14"/>
                <w:szCs w:val="14"/>
                <w:lang w:val="en-US"/>
              </w:rPr>
              <w:t>NIVEL</w:t>
            </w:r>
          </w:p>
        </w:tc>
        <w:tc>
          <w:tcPr>
            <w:tcW w:w="2320"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POBLACIÓN</w:t>
            </w:r>
            <w:r>
              <w:rPr>
                <w:rFonts w:ascii="Calibri" w:eastAsia="Times New Roman" w:hAnsi="Calibri" w:cs="Calibri"/>
                <w:color w:val="000000"/>
                <w:sz w:val="14"/>
                <w:szCs w:val="14"/>
                <w:lang w:val="es-ES"/>
              </w:rPr>
              <w:br/>
              <w:t>CONAPO 2018 a mitad de año</w:t>
            </w:r>
          </w:p>
        </w:tc>
        <w:tc>
          <w:tcPr>
            <w:tcW w:w="7122" w:type="dxa"/>
            <w:gridSpan w:val="6"/>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n-US"/>
              </w:rPr>
            </w:pPr>
            <w:r>
              <w:rPr>
                <w:rFonts w:ascii="Arial" w:eastAsia="Times New Roman" w:hAnsi="Arial" w:cs="Arial"/>
                <w:b/>
                <w:bCs/>
                <w:color w:val="F2F2F2"/>
                <w:sz w:val="16"/>
                <w:szCs w:val="16"/>
                <w:lang w:val="en-US"/>
              </w:rPr>
              <w:t>MATRICULA EN ESCUELAS CICLO 2022-2023</w:t>
            </w:r>
          </w:p>
        </w:tc>
      </w:tr>
      <w:tr>
        <w:trPr>
          <w:trHeight w:val="517"/>
        </w:trPr>
        <w:tc>
          <w:tcPr>
            <w:tcW w:w="802"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n-US"/>
              </w:rPr>
            </w:pPr>
          </w:p>
        </w:tc>
        <w:tc>
          <w:tcPr>
            <w:tcW w:w="1360"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2023</w:t>
            </w:r>
          </w:p>
        </w:tc>
        <w:tc>
          <w:tcPr>
            <w:tcW w:w="960"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n-US"/>
              </w:rPr>
            </w:pPr>
            <w:proofErr w:type="spellStart"/>
            <w:r>
              <w:rPr>
                <w:rFonts w:ascii="Arial" w:eastAsia="Times New Roman" w:hAnsi="Arial" w:cs="Arial"/>
                <w:b/>
                <w:bCs/>
                <w:color w:val="000000"/>
                <w:sz w:val="14"/>
                <w:szCs w:val="14"/>
                <w:lang w:val="en-US"/>
              </w:rPr>
              <w:t>Porcentaje</w:t>
            </w:r>
            <w:proofErr w:type="spellEnd"/>
          </w:p>
        </w:tc>
        <w:tc>
          <w:tcPr>
            <w:tcW w:w="2285"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n-US"/>
              </w:rPr>
            </w:pPr>
            <w:r>
              <w:rPr>
                <w:rFonts w:ascii="Arial" w:eastAsia="Times New Roman" w:hAnsi="Arial" w:cs="Arial"/>
                <w:b/>
                <w:bCs/>
                <w:color w:val="000000"/>
                <w:sz w:val="14"/>
                <w:szCs w:val="14"/>
                <w:lang w:val="en-US"/>
              </w:rPr>
              <w:t>FEDERAL TRANSFERIDO</w:t>
            </w:r>
          </w:p>
        </w:tc>
        <w:tc>
          <w:tcPr>
            <w:tcW w:w="958"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n-US"/>
              </w:rPr>
            </w:pPr>
            <w:r>
              <w:rPr>
                <w:rFonts w:ascii="Arial" w:eastAsia="Times New Roman" w:hAnsi="Arial" w:cs="Arial"/>
                <w:b/>
                <w:bCs/>
                <w:color w:val="000000"/>
                <w:sz w:val="12"/>
                <w:szCs w:val="12"/>
                <w:lang w:val="en-US"/>
              </w:rPr>
              <w:t>ESTATALES</w:t>
            </w:r>
          </w:p>
        </w:tc>
        <w:tc>
          <w:tcPr>
            <w:tcW w:w="806"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n-US"/>
              </w:rPr>
            </w:pPr>
            <w:r>
              <w:rPr>
                <w:rFonts w:ascii="Arial" w:eastAsia="Times New Roman" w:hAnsi="Arial" w:cs="Arial"/>
                <w:b/>
                <w:bCs/>
                <w:color w:val="000000"/>
                <w:sz w:val="12"/>
                <w:szCs w:val="12"/>
                <w:lang w:val="en-US"/>
              </w:rPr>
              <w:t>FEDERAL</w:t>
            </w:r>
          </w:p>
        </w:tc>
        <w:tc>
          <w:tcPr>
            <w:tcW w:w="1192"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n-US"/>
              </w:rPr>
            </w:pPr>
            <w:r>
              <w:rPr>
                <w:rFonts w:ascii="Arial" w:eastAsia="Times New Roman" w:hAnsi="Arial" w:cs="Arial"/>
                <w:b/>
                <w:bCs/>
                <w:color w:val="000000"/>
                <w:sz w:val="12"/>
                <w:szCs w:val="12"/>
                <w:lang w:val="en-US"/>
              </w:rPr>
              <w:t>PARTICULARES</w:t>
            </w:r>
          </w:p>
        </w:tc>
        <w:tc>
          <w:tcPr>
            <w:tcW w:w="792"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n-US"/>
              </w:rPr>
            </w:pPr>
            <w:r>
              <w:rPr>
                <w:rFonts w:ascii="Arial" w:eastAsia="Times New Roman" w:hAnsi="Arial" w:cs="Arial"/>
                <w:b/>
                <w:bCs/>
                <w:color w:val="000000"/>
                <w:sz w:val="14"/>
                <w:szCs w:val="14"/>
                <w:lang w:val="en-US"/>
              </w:rPr>
              <w:t>TOTAL</w:t>
            </w:r>
          </w:p>
        </w:tc>
        <w:tc>
          <w:tcPr>
            <w:tcW w:w="1089"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n-US"/>
              </w:rPr>
            </w:pPr>
            <w:r>
              <w:rPr>
                <w:rFonts w:ascii="Arial" w:eastAsia="Times New Roman" w:hAnsi="Arial" w:cs="Arial"/>
                <w:b/>
                <w:bCs/>
                <w:color w:val="000000"/>
                <w:sz w:val="14"/>
                <w:szCs w:val="14"/>
                <w:lang w:val="en-US"/>
              </w:rPr>
              <w:t>POBLACIÓN SIN ATENDER</w:t>
            </w:r>
          </w:p>
        </w:tc>
      </w:tr>
      <w:tr>
        <w:trPr>
          <w:trHeight w:val="279"/>
        </w:trPr>
        <w:tc>
          <w:tcPr>
            <w:tcW w:w="802"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n-US"/>
              </w:rPr>
            </w:pPr>
            <w:proofErr w:type="spellStart"/>
            <w:r>
              <w:rPr>
                <w:rFonts w:ascii="Arial" w:eastAsia="Times New Roman" w:hAnsi="Arial" w:cs="Arial"/>
                <w:color w:val="000000"/>
                <w:lang w:val="en-US"/>
              </w:rPr>
              <w:t>Inicial</w:t>
            </w:r>
            <w:proofErr w:type="spellEnd"/>
          </w:p>
        </w:tc>
        <w:tc>
          <w:tcPr>
            <w:tcW w:w="1360"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n-US"/>
              </w:rPr>
            </w:pPr>
            <w:r>
              <w:rPr>
                <w:rFonts w:ascii="Arial" w:eastAsia="Times New Roman" w:hAnsi="Arial" w:cs="Arial"/>
                <w:color w:val="000000"/>
                <w:lang w:val="en-US"/>
              </w:rPr>
              <w:t>184,584</w:t>
            </w:r>
          </w:p>
        </w:tc>
        <w:tc>
          <w:tcPr>
            <w:tcW w:w="96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100.00%</w:t>
            </w:r>
          </w:p>
        </w:tc>
        <w:tc>
          <w:tcPr>
            <w:tcW w:w="2285"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1,338</w:t>
            </w:r>
          </w:p>
        </w:tc>
        <w:tc>
          <w:tcPr>
            <w:tcW w:w="958"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51</w:t>
            </w:r>
          </w:p>
        </w:tc>
        <w:tc>
          <w:tcPr>
            <w:tcW w:w="806"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647</w:t>
            </w:r>
          </w:p>
        </w:tc>
        <w:tc>
          <w:tcPr>
            <w:tcW w:w="11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7,462</w:t>
            </w:r>
          </w:p>
        </w:tc>
        <w:tc>
          <w:tcPr>
            <w:tcW w:w="792"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9,498</w:t>
            </w:r>
          </w:p>
        </w:tc>
        <w:tc>
          <w:tcPr>
            <w:tcW w:w="1089"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175,086</w:t>
            </w:r>
          </w:p>
        </w:tc>
      </w:tr>
      <w:tr>
        <w:trPr>
          <w:trHeight w:val="308"/>
        </w:trPr>
        <w:tc>
          <w:tcPr>
            <w:tcW w:w="802"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n-US"/>
              </w:rPr>
            </w:pPr>
          </w:p>
        </w:tc>
        <w:tc>
          <w:tcPr>
            <w:tcW w:w="136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n-US"/>
              </w:rPr>
            </w:pPr>
          </w:p>
        </w:tc>
        <w:tc>
          <w:tcPr>
            <w:tcW w:w="96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  DE LA POBLACIÓN</w:t>
            </w:r>
          </w:p>
        </w:tc>
        <w:tc>
          <w:tcPr>
            <w:tcW w:w="22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0.72%</w:t>
            </w:r>
          </w:p>
        </w:tc>
        <w:tc>
          <w:tcPr>
            <w:tcW w:w="95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0.03%</w:t>
            </w:r>
          </w:p>
        </w:tc>
        <w:tc>
          <w:tcPr>
            <w:tcW w:w="80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0.35%</w:t>
            </w:r>
          </w:p>
        </w:tc>
        <w:tc>
          <w:tcPr>
            <w:tcW w:w="11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4.04%</w:t>
            </w:r>
          </w:p>
        </w:tc>
        <w:tc>
          <w:tcPr>
            <w:tcW w:w="7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5.15%</w:t>
            </w:r>
          </w:p>
        </w:tc>
        <w:tc>
          <w:tcPr>
            <w:tcW w:w="1089"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94.85%</w:t>
            </w:r>
          </w:p>
        </w:tc>
      </w:tr>
      <w:tr>
        <w:trPr>
          <w:trHeight w:val="279"/>
        </w:trPr>
        <w:tc>
          <w:tcPr>
            <w:tcW w:w="802"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n-US"/>
              </w:rPr>
            </w:pPr>
          </w:p>
        </w:tc>
        <w:tc>
          <w:tcPr>
            <w:tcW w:w="136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n-US"/>
              </w:rPr>
            </w:pPr>
          </w:p>
        </w:tc>
        <w:tc>
          <w:tcPr>
            <w:tcW w:w="96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n-US"/>
              </w:rPr>
            </w:pPr>
            <w:r>
              <w:rPr>
                <w:rFonts w:ascii="Arial" w:eastAsia="Times New Roman" w:hAnsi="Arial" w:cs="Arial"/>
                <w:color w:val="000000"/>
                <w:sz w:val="12"/>
                <w:szCs w:val="12"/>
                <w:lang w:val="en-US"/>
              </w:rPr>
              <w:t>%  DEL ATENDIDO</w:t>
            </w:r>
          </w:p>
        </w:tc>
        <w:tc>
          <w:tcPr>
            <w:tcW w:w="22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14.09%</w:t>
            </w:r>
          </w:p>
        </w:tc>
        <w:tc>
          <w:tcPr>
            <w:tcW w:w="95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0.54%</w:t>
            </w:r>
          </w:p>
        </w:tc>
        <w:tc>
          <w:tcPr>
            <w:tcW w:w="80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6.81%</w:t>
            </w:r>
          </w:p>
        </w:tc>
        <w:tc>
          <w:tcPr>
            <w:tcW w:w="11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78.56%</w:t>
            </w:r>
          </w:p>
        </w:tc>
        <w:tc>
          <w:tcPr>
            <w:tcW w:w="7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n-US"/>
              </w:rPr>
            </w:pPr>
            <w:r>
              <w:rPr>
                <w:rFonts w:ascii="Arial" w:eastAsia="Times New Roman" w:hAnsi="Arial" w:cs="Arial"/>
                <w:color w:val="000000"/>
                <w:sz w:val="14"/>
                <w:szCs w:val="14"/>
                <w:lang w:val="en-US"/>
              </w:rPr>
              <w:t>100.00%</w:t>
            </w:r>
          </w:p>
        </w:tc>
        <w:tc>
          <w:tcPr>
            <w:tcW w:w="1089"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n-US"/>
              </w:rPr>
            </w:pPr>
          </w:p>
        </w:tc>
      </w:tr>
    </w:tbl>
    <w:p>
      <w:pPr>
        <w:spacing w:before="179"/>
        <w:ind w:left="-567"/>
        <w:rPr>
          <w:rFonts w:cs="Arial"/>
          <w:sz w:val="16"/>
          <w:szCs w:val="16"/>
        </w:rPr>
      </w:pPr>
      <w:r>
        <w:rPr>
          <w:rFonts w:cs="Arial"/>
          <w:sz w:val="16"/>
          <w:szCs w:val="16"/>
        </w:rPr>
        <w:t>Fuente:</w:t>
      </w:r>
      <w:r>
        <w:rPr>
          <w:rFonts w:cs="Arial"/>
          <w:spacing w:val="-1"/>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3"/>
          <w:sz w:val="16"/>
          <w:szCs w:val="16"/>
        </w:rPr>
        <w:t xml:space="preserve"> </w:t>
      </w:r>
      <w:r>
        <w:rPr>
          <w:rFonts w:cs="Arial"/>
          <w:sz w:val="16"/>
          <w:szCs w:val="16"/>
        </w:rPr>
        <w:t>para</w:t>
      </w:r>
      <w:r>
        <w:rPr>
          <w:rFonts w:cs="Arial"/>
          <w:spacing w:val="-4"/>
          <w:sz w:val="16"/>
          <w:szCs w:val="16"/>
        </w:rPr>
        <w:t xml:space="preserve"> </w:t>
      </w:r>
      <w:proofErr w:type="spellStart"/>
      <w:r>
        <w:rPr>
          <w:rFonts w:cs="Arial"/>
          <w:sz w:val="16"/>
          <w:szCs w:val="16"/>
        </w:rPr>
        <w:t>PbR</w:t>
      </w:r>
      <w:proofErr w:type="spellEnd"/>
      <w:r>
        <w:rPr>
          <w:rFonts w:cs="Arial"/>
          <w:spacing w:val="-2"/>
          <w:sz w:val="16"/>
          <w:szCs w:val="16"/>
        </w:rPr>
        <w:t xml:space="preserve"> </w:t>
      </w:r>
      <w:r>
        <w:rPr>
          <w:rFonts w:cs="Arial"/>
          <w:sz w:val="16"/>
          <w:szCs w:val="16"/>
        </w:rPr>
        <w:t>2023.</w:t>
      </w:r>
    </w:p>
    <w:p>
      <w:pPr>
        <w:pStyle w:val="Ttulo2"/>
        <w:rPr>
          <w:rFonts w:ascii="Arial" w:hAnsi="Arial" w:cs="Arial"/>
          <w:sz w:val="22"/>
          <w:szCs w:val="22"/>
        </w:rPr>
      </w:pPr>
      <w:bookmarkStart w:id="7" w:name="_bookmark5"/>
      <w:bookmarkEnd w:id="7"/>
    </w:p>
    <w:p>
      <w:pPr>
        <w:ind w:left="-567"/>
        <w:rPr>
          <w:rFonts w:ascii="Arial" w:hAnsi="Arial" w:cs="Arial"/>
          <w:b/>
        </w:rPr>
      </w:pPr>
      <w:bookmarkStart w:id="8" w:name="_Toc121226043"/>
      <w:r>
        <w:rPr>
          <w:rFonts w:ascii="Arial" w:hAnsi="Arial" w:cs="Arial"/>
          <w:b/>
        </w:rPr>
        <w:t>Educación preescolar</w:t>
      </w:r>
      <w:bookmarkEnd w:id="8"/>
    </w:p>
    <w:p>
      <w:pPr>
        <w:pStyle w:val="Textoindependiente"/>
        <w:ind w:left="-567" w:right="-801"/>
        <w:jc w:val="both"/>
        <w:rPr>
          <w:rFonts w:eastAsiaTheme="minorHAnsi" w:cs="Arial"/>
          <w:lang w:val="es-ES_tradnl"/>
        </w:rPr>
      </w:pPr>
      <w:r>
        <w:rPr>
          <w:rFonts w:eastAsiaTheme="minorHAnsi" w:cs="Arial"/>
          <w:lang w:val="es-ES_tradnl"/>
        </w:rPr>
        <w:t>Chihuahua ocupa la posición 23 en el país en el tema de cobertura  cifras del ciclo 2020-2021 en educación preescolar: las niñas y niños entre tres y cinco años de edad que no acuden a la escuela supera los 78 mil</w:t>
      </w:r>
      <w:r>
        <w:rPr>
          <w:rStyle w:val="Refdenotaalpie"/>
          <w:rFonts w:eastAsiaTheme="minorHAnsi" w:cs="Arial"/>
          <w:lang w:val="es-ES_tradnl"/>
        </w:rPr>
        <w:footnoteReference w:id="4"/>
      </w:r>
      <w:r>
        <w:rPr>
          <w:rFonts w:eastAsiaTheme="minorHAnsi" w:cs="Arial"/>
          <w:lang w:val="es-ES_tradnl"/>
        </w:rPr>
        <w:t>.</w:t>
      </w:r>
    </w:p>
    <w:p>
      <w:pPr>
        <w:pStyle w:val="Textoindependiente"/>
        <w:ind w:left="-567" w:right="-801"/>
        <w:jc w:val="both"/>
        <w:rPr>
          <w:rFonts w:eastAsiaTheme="minorHAnsi" w:cs="Arial"/>
          <w:lang w:val="es-ES_tradnl"/>
        </w:rPr>
      </w:pPr>
      <w:r>
        <w:rPr>
          <w:rFonts w:eastAsiaTheme="minorHAnsi" w:cs="Arial"/>
          <w:lang w:val="es-ES_tradnl"/>
        </w:rPr>
        <w:t>De acuerdo con la estadística Estatal de la población CONAPO agosto 2018 proyecciones a mitad de año, los infantes en edad de cursar la educación preescolar para el 2023 es de 188 mil 717 infantes de los cuales en la Entidad se atendieron 113  mil 293, lo que representa el 37.36 % de la población etaria de 3 a 5 años. La tasa  de matriculación en el sistema federal transferido es de 70 mil 503 niños y niñas representando el 62.23% de la atención educativa.</w:t>
      </w:r>
    </w:p>
    <w:p>
      <w:pPr>
        <w:pStyle w:val="Textoindependiente"/>
        <w:ind w:right="242"/>
        <w:jc w:val="both"/>
        <w:rPr>
          <w:rFonts w:eastAsiaTheme="minorHAnsi" w:cs="Arial"/>
          <w:lang w:val="es-ES_tradnl"/>
        </w:rPr>
      </w:pPr>
    </w:p>
    <w:p>
      <w:pPr>
        <w:pStyle w:val="Textoindependiente"/>
        <w:spacing w:before="9"/>
        <w:rPr>
          <w:rFonts w:eastAsiaTheme="minorHAnsi" w:cs="Arial"/>
          <w:lang w:val="es-ES_tradnl"/>
        </w:rPr>
      </w:pPr>
    </w:p>
    <w:p>
      <w:pPr>
        <w:pStyle w:val="Textoindependiente"/>
        <w:spacing w:before="9"/>
        <w:rPr>
          <w:rFonts w:eastAsiaTheme="minorHAnsi" w:cs="Arial"/>
          <w:lang w:val="es-ES_tradnl"/>
        </w:rPr>
      </w:pPr>
    </w:p>
    <w:p>
      <w:pPr>
        <w:pStyle w:val="Textoindependiente"/>
        <w:spacing w:before="1"/>
        <w:ind w:right="244"/>
        <w:jc w:val="both"/>
        <w:rPr>
          <w:rFonts w:eastAsiaTheme="minorHAnsi" w:cs="Arial"/>
          <w:lang w:val="es-ES_tradnl"/>
        </w:rPr>
      </w:pPr>
    </w:p>
    <w:p>
      <w:pPr>
        <w:pStyle w:val="Textoindependiente"/>
        <w:spacing w:before="1"/>
        <w:ind w:left="-567" w:right="-801"/>
        <w:jc w:val="both"/>
        <w:rPr>
          <w:rFonts w:eastAsiaTheme="minorHAnsi" w:cs="Arial"/>
          <w:lang w:val="es-ES_tradnl"/>
        </w:rPr>
      </w:pPr>
      <w:r>
        <w:rPr>
          <w:rFonts w:eastAsiaTheme="minorHAnsi" w:cs="Arial"/>
          <w:lang w:val="es-ES_tradnl"/>
        </w:rPr>
        <w:t>En relación con la perspectiva de género la población etaria de 3-5 años, CONAPO agosto 2018 proyecciones a mitad de año, para el año 2023 se conforma de 96 mil 069 niños y 92 mil 648 niñas en la Entidad y la cobertura del    sistema federal transferido fue de 35 mil 516 niños y 34 mil 987 niñas, lo que significa que en relación a la población etaria en el ciclo escolar 2022-2023 se encuentra una cobertura mayor en la población femenina atendiéndose un 37.8% con respecto a los hombres de los que se atendió un 37.0%.</w:t>
      </w:r>
    </w:p>
    <w:p>
      <w:pPr>
        <w:pStyle w:val="Textoindependiente"/>
        <w:ind w:left="-567" w:right="-801"/>
        <w:rPr>
          <w:rFonts w:eastAsiaTheme="minorHAnsi" w:cs="Arial"/>
          <w:lang w:val="es-ES_tradnl"/>
        </w:rPr>
      </w:pPr>
    </w:p>
    <w:p>
      <w:pPr>
        <w:pStyle w:val="Textoindependiente"/>
        <w:ind w:left="-567" w:right="-801"/>
        <w:jc w:val="both"/>
        <w:rPr>
          <w:rFonts w:eastAsiaTheme="minorHAnsi" w:cs="Arial"/>
          <w:lang w:val="es-ES_tradnl"/>
        </w:rPr>
      </w:pPr>
      <w:r>
        <w:rPr>
          <w:rFonts w:eastAsiaTheme="minorHAnsi" w:cs="Arial"/>
          <w:lang w:val="es-ES_tradnl"/>
        </w:rPr>
        <w:t>De acuerdo con los datos de la población CONAPO agosto 2018 proyecciones a mitad de año, en el estado de Chihuahua para el año 2023 es la siguiente:</w:t>
      </w:r>
    </w:p>
    <w:p>
      <w:pPr>
        <w:pStyle w:val="Textoindependiente"/>
        <w:spacing w:before="2"/>
        <w:ind w:left="-567" w:right="-801"/>
        <w:rPr>
          <w:rFonts w:eastAsiaTheme="minorHAnsi" w:cs="Arial"/>
          <w:lang w:val="es-ES_tradnl"/>
        </w:rPr>
      </w:pPr>
    </w:p>
    <w:p>
      <w:pPr>
        <w:ind w:left="-567"/>
        <w:rPr>
          <w:rFonts w:ascii="Arial" w:hAnsi="Arial" w:cs="Arial"/>
        </w:rPr>
      </w:pPr>
      <w:r>
        <w:rPr>
          <w:rFonts w:ascii="Arial" w:hAnsi="Arial" w:cs="Arial"/>
        </w:rPr>
        <w:t>Cuadro 2. Cobertura en Educación Preescolar</w:t>
      </w:r>
    </w:p>
    <w:tbl>
      <w:tblPr>
        <w:tblW w:w="10277" w:type="dxa"/>
        <w:tblInd w:w="-823" w:type="dxa"/>
        <w:tblCellMar>
          <w:left w:w="70" w:type="dxa"/>
          <w:right w:w="70" w:type="dxa"/>
        </w:tblCellMar>
        <w:tblLook w:val="04A0" w:firstRow="1" w:lastRow="0" w:firstColumn="1" w:lastColumn="0" w:noHBand="0" w:noVBand="1"/>
      </w:tblPr>
      <w:tblGrid>
        <w:gridCol w:w="1245"/>
        <w:gridCol w:w="1209"/>
        <w:gridCol w:w="1089"/>
        <w:gridCol w:w="1208"/>
        <w:gridCol w:w="1088"/>
        <w:gridCol w:w="1059"/>
        <w:gridCol w:w="1132"/>
        <w:gridCol w:w="1104"/>
        <w:gridCol w:w="1132"/>
        <w:gridCol w:w="11"/>
      </w:tblGrid>
      <w:tr>
        <w:trPr>
          <w:trHeight w:val="308"/>
        </w:trPr>
        <w:tc>
          <w:tcPr>
            <w:tcW w:w="1246"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298"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733" w:type="dxa"/>
            <w:gridSpan w:val="7"/>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gridAfter w:val="1"/>
          <w:wAfter w:w="11" w:type="dxa"/>
          <w:trHeight w:val="381"/>
        </w:trPr>
        <w:tc>
          <w:tcPr>
            <w:tcW w:w="1246"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209"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088"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208"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088"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59"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132"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104"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132"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gridAfter w:val="1"/>
          <w:wAfter w:w="11" w:type="dxa"/>
          <w:trHeight w:val="205"/>
        </w:trPr>
        <w:tc>
          <w:tcPr>
            <w:tcW w:w="1246"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Preescolar</w:t>
            </w:r>
          </w:p>
        </w:tc>
        <w:tc>
          <w:tcPr>
            <w:tcW w:w="1209"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188,717</w:t>
            </w:r>
          </w:p>
        </w:tc>
        <w:tc>
          <w:tcPr>
            <w:tcW w:w="108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208"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70,503</w:t>
            </w:r>
          </w:p>
        </w:tc>
        <w:tc>
          <w:tcPr>
            <w:tcW w:w="1088"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25609</w:t>
            </w:r>
          </w:p>
        </w:tc>
        <w:tc>
          <w:tcPr>
            <w:tcW w:w="1059"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3486</w:t>
            </w:r>
          </w:p>
        </w:tc>
        <w:tc>
          <w:tcPr>
            <w:tcW w:w="11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13,695</w:t>
            </w:r>
          </w:p>
        </w:tc>
        <w:tc>
          <w:tcPr>
            <w:tcW w:w="1104"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113,293</w:t>
            </w:r>
          </w:p>
        </w:tc>
        <w:tc>
          <w:tcPr>
            <w:tcW w:w="11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75,424</w:t>
            </w:r>
          </w:p>
        </w:tc>
      </w:tr>
      <w:tr>
        <w:trPr>
          <w:gridAfter w:val="1"/>
          <w:wAfter w:w="11" w:type="dxa"/>
          <w:trHeight w:val="246"/>
        </w:trPr>
        <w:tc>
          <w:tcPr>
            <w:tcW w:w="1246"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209"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08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20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37.36%</w:t>
            </w:r>
          </w:p>
        </w:tc>
        <w:tc>
          <w:tcPr>
            <w:tcW w:w="108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13.57%</w:t>
            </w:r>
          </w:p>
        </w:tc>
        <w:tc>
          <w:tcPr>
            <w:tcW w:w="1059"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1.85%</w:t>
            </w:r>
          </w:p>
        </w:tc>
        <w:tc>
          <w:tcPr>
            <w:tcW w:w="11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7.26%</w:t>
            </w:r>
          </w:p>
        </w:tc>
        <w:tc>
          <w:tcPr>
            <w:tcW w:w="11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60.03%</w:t>
            </w:r>
          </w:p>
        </w:tc>
        <w:tc>
          <w:tcPr>
            <w:tcW w:w="11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39.97%</w:t>
            </w:r>
          </w:p>
        </w:tc>
      </w:tr>
      <w:tr>
        <w:trPr>
          <w:gridAfter w:val="1"/>
          <w:wAfter w:w="11" w:type="dxa"/>
          <w:trHeight w:val="246"/>
        </w:trPr>
        <w:tc>
          <w:tcPr>
            <w:tcW w:w="1246"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209"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08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20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62.23%</w:t>
            </w:r>
          </w:p>
        </w:tc>
        <w:tc>
          <w:tcPr>
            <w:tcW w:w="108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22.60%</w:t>
            </w:r>
          </w:p>
        </w:tc>
        <w:tc>
          <w:tcPr>
            <w:tcW w:w="1059"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3.08%</w:t>
            </w:r>
          </w:p>
        </w:tc>
        <w:tc>
          <w:tcPr>
            <w:tcW w:w="11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12.09%</w:t>
            </w:r>
          </w:p>
        </w:tc>
        <w:tc>
          <w:tcPr>
            <w:tcW w:w="11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32"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ind w:left="-567"/>
        <w:rPr>
          <w:rFonts w:cs="Arial"/>
          <w:sz w:val="16"/>
          <w:szCs w:val="16"/>
        </w:rPr>
      </w:pPr>
    </w:p>
    <w:p>
      <w:pPr>
        <w:ind w:left="-567"/>
        <w:rPr>
          <w:rFonts w:cs="Arial"/>
          <w:sz w:val="16"/>
          <w:szCs w:val="16"/>
        </w:rPr>
      </w:pPr>
      <w:r>
        <w:rPr>
          <w:rFonts w:cs="Arial"/>
          <w:sz w:val="16"/>
          <w:szCs w:val="16"/>
        </w:rPr>
        <w:t>Fuente:</w:t>
      </w:r>
      <w:r>
        <w:rPr>
          <w:rFonts w:cs="Arial"/>
          <w:spacing w:val="-1"/>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3"/>
          <w:sz w:val="16"/>
          <w:szCs w:val="16"/>
        </w:rPr>
        <w:t xml:space="preserve"> </w:t>
      </w:r>
      <w:r>
        <w:rPr>
          <w:rFonts w:cs="Arial"/>
          <w:sz w:val="16"/>
          <w:szCs w:val="16"/>
        </w:rPr>
        <w:t>para</w:t>
      </w:r>
      <w:r>
        <w:rPr>
          <w:rFonts w:cs="Arial"/>
          <w:spacing w:val="-4"/>
          <w:sz w:val="16"/>
          <w:szCs w:val="16"/>
        </w:rPr>
        <w:t xml:space="preserve"> </w:t>
      </w:r>
      <w:proofErr w:type="spellStart"/>
      <w:r>
        <w:rPr>
          <w:rFonts w:cs="Arial"/>
          <w:sz w:val="16"/>
          <w:szCs w:val="16"/>
        </w:rPr>
        <w:t>PbR</w:t>
      </w:r>
      <w:proofErr w:type="spellEnd"/>
      <w:r>
        <w:rPr>
          <w:rFonts w:cs="Arial"/>
          <w:spacing w:val="-2"/>
          <w:sz w:val="16"/>
          <w:szCs w:val="16"/>
        </w:rPr>
        <w:t xml:space="preserve"> </w:t>
      </w:r>
      <w:r>
        <w:rPr>
          <w:rFonts w:cs="Arial"/>
          <w:sz w:val="16"/>
          <w:szCs w:val="16"/>
        </w:rPr>
        <w:t>2023.</w:t>
      </w:r>
    </w:p>
    <w:p>
      <w:pPr>
        <w:pStyle w:val="Textoindependiente"/>
        <w:spacing w:before="5"/>
        <w:rPr>
          <w:rFonts w:cs="Arial"/>
          <w:lang w:val="es-ES_tradnl"/>
        </w:rPr>
      </w:pPr>
    </w:p>
    <w:p>
      <w:pPr>
        <w:pStyle w:val="Textoindependiente"/>
        <w:spacing w:before="5"/>
        <w:rPr>
          <w:rFonts w:cs="Arial"/>
          <w:lang w:val="es-ES_tradnl"/>
        </w:rPr>
      </w:pPr>
    </w:p>
    <w:p>
      <w:pPr>
        <w:pStyle w:val="Textoindependiente"/>
        <w:ind w:left="-567" w:right="-801"/>
        <w:jc w:val="both"/>
        <w:rPr>
          <w:rFonts w:eastAsiaTheme="minorHAnsi" w:cs="Arial"/>
          <w:lang w:val="es-ES_tradnl"/>
        </w:rPr>
      </w:pPr>
      <w:r>
        <w:rPr>
          <w:rFonts w:eastAsiaTheme="minorHAnsi" w:cs="Arial"/>
          <w:lang w:val="es-ES_tradnl"/>
        </w:rPr>
        <w:t>Algunas de las causas del rezago educativo en nivel preescolar se deben a los siguientes factores:</w:t>
      </w:r>
    </w:p>
    <w:p>
      <w:pPr>
        <w:pStyle w:val="Prrafodelista"/>
        <w:widowControl w:val="0"/>
        <w:numPr>
          <w:ilvl w:val="0"/>
          <w:numId w:val="117"/>
        </w:numPr>
        <w:tabs>
          <w:tab w:val="left" w:pos="834"/>
        </w:tabs>
        <w:autoSpaceDE w:val="0"/>
        <w:autoSpaceDN w:val="0"/>
        <w:spacing w:before="161" w:after="0"/>
        <w:ind w:left="-284" w:right="-801"/>
        <w:contextualSpacing w:val="0"/>
        <w:rPr>
          <w:rFonts w:eastAsiaTheme="minorHAnsi" w:cs="Arial"/>
          <w:lang w:val="es-ES_tradnl" w:eastAsia="en-US"/>
        </w:rPr>
      </w:pPr>
      <w:r>
        <w:rPr>
          <w:rFonts w:eastAsiaTheme="minorHAnsi" w:cs="Arial"/>
          <w:lang w:val="es-ES_tradnl" w:eastAsia="en-US"/>
        </w:rPr>
        <w:t>Madres y padres trabajadores que su horario laboral no les permite llevar a las y los menores a la escuela y prefieren optar por dejarlos encargados con familiares o guarderías.</w:t>
      </w:r>
    </w:p>
    <w:p>
      <w:pPr>
        <w:pStyle w:val="Prrafodelista"/>
        <w:widowControl w:val="0"/>
        <w:numPr>
          <w:ilvl w:val="0"/>
          <w:numId w:val="117"/>
        </w:numPr>
        <w:tabs>
          <w:tab w:val="left" w:pos="834"/>
        </w:tabs>
        <w:autoSpaceDE w:val="0"/>
        <w:autoSpaceDN w:val="0"/>
        <w:spacing w:before="0" w:after="0"/>
        <w:ind w:left="-284" w:right="-801"/>
        <w:contextualSpacing w:val="0"/>
        <w:rPr>
          <w:rFonts w:eastAsiaTheme="minorHAnsi" w:cs="Arial"/>
          <w:lang w:val="es-ES_tradnl" w:eastAsia="en-US"/>
        </w:rPr>
      </w:pPr>
      <w:r>
        <w:rPr>
          <w:rFonts w:eastAsiaTheme="minorHAnsi" w:cs="Arial"/>
          <w:lang w:val="es-ES_tradnl" w:eastAsia="en-US"/>
        </w:rPr>
        <w:t>Padres y madres de familia no dan valor a la educación preescolar, inscriben a sus niños y niñas hasta el tercer grado de preescolar, debido a que es un requisito para el  ingreso a primaria.</w:t>
      </w:r>
    </w:p>
    <w:p>
      <w:pPr>
        <w:pStyle w:val="Prrafodelista"/>
        <w:widowControl w:val="0"/>
        <w:numPr>
          <w:ilvl w:val="0"/>
          <w:numId w:val="117"/>
        </w:numPr>
        <w:tabs>
          <w:tab w:val="left" w:pos="834"/>
        </w:tabs>
        <w:autoSpaceDE w:val="0"/>
        <w:autoSpaceDN w:val="0"/>
        <w:spacing w:before="0" w:after="0"/>
        <w:ind w:left="-284" w:right="-801"/>
        <w:contextualSpacing w:val="0"/>
        <w:rPr>
          <w:rFonts w:eastAsiaTheme="minorHAnsi" w:cs="Arial"/>
          <w:lang w:val="es-ES_tradnl" w:eastAsia="en-US"/>
        </w:rPr>
      </w:pPr>
      <w:r>
        <w:rPr>
          <w:rFonts w:eastAsiaTheme="minorHAnsi" w:cs="Arial"/>
          <w:lang w:val="es-ES_tradnl" w:eastAsia="en-US"/>
        </w:rPr>
        <w:t>La falta de infraestructura y recurso humano para ampliar la atención educativa propicia que los centros educativos den prioridad a la atención de niños y niñas de 4 y 5 años de edad.</w:t>
      </w:r>
    </w:p>
    <w:p>
      <w:pPr>
        <w:pStyle w:val="Ttulo2"/>
        <w:widowControl w:val="0"/>
        <w:tabs>
          <w:tab w:val="left" w:pos="581"/>
        </w:tabs>
        <w:autoSpaceDE w:val="0"/>
        <w:autoSpaceDN w:val="0"/>
        <w:spacing w:before="1" w:after="0"/>
        <w:ind w:left="-567" w:right="-801"/>
        <w:contextualSpacing w:val="0"/>
        <w:rPr>
          <w:rFonts w:asciiTheme="minorHAnsi" w:hAnsiTheme="minorHAnsi" w:cstheme="minorHAnsi"/>
          <w:b w:val="0"/>
          <w:sz w:val="22"/>
          <w:szCs w:val="22"/>
        </w:rPr>
      </w:pPr>
      <w:bookmarkStart w:id="9" w:name="_bookmark6"/>
      <w:bookmarkEnd w:id="9"/>
    </w:p>
    <w:p>
      <w:pPr>
        <w:ind w:left="-567"/>
        <w:rPr>
          <w:rFonts w:ascii="Arial" w:hAnsi="Arial" w:cs="Arial"/>
          <w:b/>
        </w:rPr>
      </w:pPr>
    </w:p>
    <w:p>
      <w:pPr>
        <w:ind w:left="-567"/>
        <w:rPr>
          <w:rFonts w:ascii="Arial" w:hAnsi="Arial" w:cs="Arial"/>
          <w:b/>
        </w:rPr>
      </w:pPr>
      <w:bookmarkStart w:id="10" w:name="_Toc121226044"/>
      <w:r>
        <w:rPr>
          <w:rFonts w:ascii="Arial" w:hAnsi="Arial" w:cs="Arial"/>
          <w:b/>
        </w:rPr>
        <w:t>Educación primaria</w:t>
      </w:r>
      <w:bookmarkEnd w:id="10"/>
    </w:p>
    <w:p>
      <w:pPr>
        <w:pStyle w:val="Textoindependiente"/>
        <w:ind w:left="-567" w:right="-801"/>
        <w:jc w:val="both"/>
        <w:rPr>
          <w:rFonts w:eastAsiaTheme="minorHAnsi" w:cs="Arial"/>
          <w:lang w:val="es-ES_tradnl"/>
        </w:rPr>
      </w:pPr>
      <w:r>
        <w:rPr>
          <w:rFonts w:eastAsiaTheme="minorHAnsi" w:cs="Arial"/>
          <w:lang w:val="es-ES_tradnl"/>
        </w:rPr>
        <w:t>De acuerdo con la estadística estatal la población en edad de cursar la educación primaria   de acuerdo a la CONAPO agosto 2018 proyecciones a mitad de año, para el año 2023 es de  388 mil 424, de los cuales 196 mil 287 son niños y 192 mil 137 niñas, en tanto que la matrícula de la Entidad del ciclo 2022-2023  es de 407 mil 815. Respecto a la matrícula atendida por en escuelas federal transferido corresponde a 277 mil 999 que representa el 68 % de cobertura respecto a la Entidad.</w:t>
      </w:r>
    </w:p>
    <w:p>
      <w:pPr>
        <w:pStyle w:val="Textoindependiente"/>
        <w:ind w:left="-567" w:right="-801"/>
        <w:rPr>
          <w:rFonts w:eastAsiaTheme="minorHAnsi" w:cs="Arial"/>
          <w:lang w:val="es-ES_tradnl"/>
        </w:rPr>
      </w:pPr>
    </w:p>
    <w:p>
      <w:pPr>
        <w:pStyle w:val="Textoindependiente"/>
        <w:ind w:left="-567" w:right="-801"/>
        <w:jc w:val="both"/>
        <w:rPr>
          <w:rFonts w:eastAsiaTheme="minorHAnsi" w:cs="Arial"/>
          <w:lang w:val="es-ES_tradnl"/>
        </w:rPr>
      </w:pPr>
      <w:r>
        <w:rPr>
          <w:rFonts w:eastAsiaTheme="minorHAnsi" w:cs="Arial"/>
          <w:lang w:val="es-ES_tradnl"/>
        </w:rPr>
        <w:lastRenderedPageBreak/>
        <w:t>En relación a la perspectiva de género la población etaria de 6-11 años, CONAPO agosto 2018 proyecciones a mitad de año, para el año 2022 se conforma de 196 mil 287 niños y 192 mil 137 niñas en la Entidad y la cobertura del sistema federal transferido fue de 141 mil 652 (72.2%) niños y 136 mil 214 (70.9%)  niñas, lo que significa que en relación a la población etaria en el ciclo escolar 2021-20223 se  realizó la cobertura mayor en la población masculina.</w:t>
      </w:r>
    </w:p>
    <w:p>
      <w:pPr>
        <w:pStyle w:val="Textoindependiente"/>
        <w:ind w:left="-567" w:right="-801"/>
        <w:jc w:val="both"/>
        <w:rPr>
          <w:rFonts w:eastAsiaTheme="minorHAnsi" w:cs="Arial"/>
          <w:lang w:val="es-ES_tradnl"/>
        </w:rPr>
      </w:pPr>
      <w:r>
        <w:rPr>
          <w:rFonts w:eastAsiaTheme="minorHAnsi" w:cs="Arial"/>
          <w:lang w:val="es-ES_tradnl"/>
        </w:rPr>
        <w:t>De acuerdo con los datos de la población CONAPO agosto 2018 proyecciones a mitad de año, en el estado de Chihuahua para el año 2023 es la siguiente:</w:t>
      </w:r>
    </w:p>
    <w:p>
      <w:pPr>
        <w:spacing w:after="3"/>
        <w:ind w:left="-567" w:right="-801"/>
        <w:rPr>
          <w:rFonts w:ascii="Arial" w:hAnsi="Arial" w:cs="Arial"/>
        </w:rPr>
      </w:pPr>
      <w:r>
        <w:rPr>
          <w:rFonts w:ascii="Arial" w:hAnsi="Arial" w:cs="Arial"/>
        </w:rPr>
        <w:t>Cuadro 3. Cobertura en Educación Primaria</w:t>
      </w:r>
    </w:p>
    <w:p>
      <w:pPr>
        <w:spacing w:after="3"/>
        <w:ind w:left="-567" w:right="-801"/>
        <w:rPr>
          <w:rFonts w:ascii="Arial" w:hAnsi="Arial" w:cs="Arial"/>
        </w:rPr>
      </w:pPr>
    </w:p>
    <w:tbl>
      <w:tblPr>
        <w:tblW w:w="10068" w:type="dxa"/>
        <w:tblInd w:w="-463" w:type="dxa"/>
        <w:tblCellMar>
          <w:left w:w="70" w:type="dxa"/>
          <w:right w:w="70" w:type="dxa"/>
        </w:tblCellMar>
        <w:tblLook w:val="04A0" w:firstRow="1" w:lastRow="0" w:firstColumn="1" w:lastColumn="0" w:noHBand="0" w:noVBand="1"/>
      </w:tblPr>
      <w:tblGrid>
        <w:gridCol w:w="1099"/>
        <w:gridCol w:w="1193"/>
        <w:gridCol w:w="1092"/>
        <w:gridCol w:w="1189"/>
        <w:gridCol w:w="1090"/>
        <w:gridCol w:w="1077"/>
        <w:gridCol w:w="1116"/>
        <w:gridCol w:w="1097"/>
        <w:gridCol w:w="1115"/>
      </w:tblGrid>
      <w:tr>
        <w:trPr>
          <w:trHeight w:val="384"/>
        </w:trPr>
        <w:tc>
          <w:tcPr>
            <w:tcW w:w="1099"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285"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684" w:type="dxa"/>
            <w:gridSpan w:val="6"/>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trHeight w:val="474"/>
        </w:trPr>
        <w:tc>
          <w:tcPr>
            <w:tcW w:w="1099"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193"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092"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189"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090"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77"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116"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097"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115"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trHeight w:val="255"/>
        </w:trPr>
        <w:tc>
          <w:tcPr>
            <w:tcW w:w="1099"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Primaria</w:t>
            </w:r>
            <w:r>
              <w:rPr>
                <w:rFonts w:ascii="Arial" w:eastAsia="Times New Roman" w:hAnsi="Arial" w:cs="Arial"/>
                <w:color w:val="000000"/>
                <w:lang w:val="es-MX" w:eastAsia="es-MX"/>
              </w:rPr>
              <w:br/>
            </w:r>
            <w:r>
              <w:rPr>
                <w:rFonts w:ascii="Arial" w:eastAsia="Times New Roman" w:hAnsi="Arial" w:cs="Arial"/>
                <w:color w:val="000000"/>
                <w:sz w:val="14"/>
                <w:szCs w:val="14"/>
                <w:lang w:val="es-MX" w:eastAsia="es-MX"/>
              </w:rPr>
              <w:t>(</w:t>
            </w:r>
            <w:proofErr w:type="spellStart"/>
            <w:r>
              <w:rPr>
                <w:rFonts w:ascii="Arial" w:eastAsia="Times New Roman" w:hAnsi="Arial" w:cs="Arial"/>
                <w:color w:val="000000"/>
                <w:sz w:val="14"/>
                <w:szCs w:val="14"/>
                <w:lang w:val="es-MX" w:eastAsia="es-MX"/>
              </w:rPr>
              <w:t>Gral</w:t>
            </w:r>
            <w:proofErr w:type="spellEnd"/>
            <w:r>
              <w:rPr>
                <w:rFonts w:ascii="Arial" w:eastAsia="Times New Roman" w:hAnsi="Arial" w:cs="Arial"/>
                <w:color w:val="000000"/>
                <w:sz w:val="14"/>
                <w:szCs w:val="14"/>
                <w:lang w:val="es-MX" w:eastAsia="es-MX"/>
              </w:rPr>
              <w:t xml:space="preserve">+ </w:t>
            </w:r>
            <w:proofErr w:type="spellStart"/>
            <w:r>
              <w:rPr>
                <w:rFonts w:ascii="Arial" w:eastAsia="Times New Roman" w:hAnsi="Arial" w:cs="Arial"/>
                <w:color w:val="000000"/>
                <w:sz w:val="14"/>
                <w:szCs w:val="14"/>
                <w:lang w:val="es-MX" w:eastAsia="es-MX"/>
              </w:rPr>
              <w:t>Ind</w:t>
            </w:r>
            <w:proofErr w:type="spellEnd"/>
            <w:r>
              <w:rPr>
                <w:rFonts w:ascii="Arial" w:eastAsia="Times New Roman" w:hAnsi="Arial" w:cs="Arial"/>
                <w:color w:val="000000"/>
                <w:sz w:val="14"/>
                <w:szCs w:val="14"/>
                <w:lang w:val="es-MX" w:eastAsia="es-MX"/>
              </w:rPr>
              <w:t xml:space="preserve"> + Comunitaria)</w:t>
            </w:r>
          </w:p>
        </w:tc>
        <w:tc>
          <w:tcPr>
            <w:tcW w:w="1193"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388,424</w:t>
            </w:r>
          </w:p>
        </w:tc>
        <w:tc>
          <w:tcPr>
            <w:tcW w:w="10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89"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277,866</w:t>
            </w:r>
          </w:p>
        </w:tc>
        <w:tc>
          <w:tcPr>
            <w:tcW w:w="1090"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90118</w:t>
            </w:r>
          </w:p>
        </w:tc>
        <w:tc>
          <w:tcPr>
            <w:tcW w:w="1077"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2260</w:t>
            </w:r>
          </w:p>
        </w:tc>
        <w:tc>
          <w:tcPr>
            <w:tcW w:w="111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37,571</w:t>
            </w:r>
          </w:p>
        </w:tc>
        <w:tc>
          <w:tcPr>
            <w:tcW w:w="1097"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407,815</w:t>
            </w:r>
          </w:p>
        </w:tc>
        <w:tc>
          <w:tcPr>
            <w:tcW w:w="111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-19,391</w:t>
            </w:r>
          </w:p>
        </w:tc>
      </w:tr>
      <w:tr>
        <w:trPr>
          <w:trHeight w:val="307"/>
        </w:trPr>
        <w:tc>
          <w:tcPr>
            <w:tcW w:w="1099"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19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0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189"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71.54%</w:t>
            </w:r>
          </w:p>
        </w:tc>
        <w:tc>
          <w:tcPr>
            <w:tcW w:w="109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23.20%</w:t>
            </w:r>
          </w:p>
        </w:tc>
        <w:tc>
          <w:tcPr>
            <w:tcW w:w="107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0.58%</w:t>
            </w:r>
          </w:p>
        </w:tc>
        <w:tc>
          <w:tcPr>
            <w:tcW w:w="111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9.67%</w:t>
            </w:r>
          </w:p>
        </w:tc>
        <w:tc>
          <w:tcPr>
            <w:tcW w:w="109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104.99%</w:t>
            </w:r>
          </w:p>
        </w:tc>
        <w:tc>
          <w:tcPr>
            <w:tcW w:w="111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-4.99%</w:t>
            </w:r>
          </w:p>
        </w:tc>
      </w:tr>
      <w:tr>
        <w:trPr>
          <w:trHeight w:val="307"/>
        </w:trPr>
        <w:tc>
          <w:tcPr>
            <w:tcW w:w="1099"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19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0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189"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68.14%</w:t>
            </w:r>
          </w:p>
        </w:tc>
        <w:tc>
          <w:tcPr>
            <w:tcW w:w="109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22.10%</w:t>
            </w:r>
          </w:p>
        </w:tc>
        <w:tc>
          <w:tcPr>
            <w:tcW w:w="107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0.55%</w:t>
            </w:r>
          </w:p>
        </w:tc>
        <w:tc>
          <w:tcPr>
            <w:tcW w:w="111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9.21%</w:t>
            </w:r>
          </w:p>
        </w:tc>
        <w:tc>
          <w:tcPr>
            <w:tcW w:w="109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15"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spacing w:after="3"/>
        <w:ind w:left="-567" w:right="-801"/>
        <w:rPr>
          <w:rFonts w:ascii="Arial" w:hAnsi="Arial" w:cs="Arial"/>
        </w:rPr>
      </w:pPr>
    </w:p>
    <w:p>
      <w:pPr>
        <w:spacing w:before="26"/>
        <w:ind w:left="-567" w:right="-801"/>
        <w:rPr>
          <w:rFonts w:ascii="Arial" w:hAnsi="Arial" w:cs="Arial"/>
          <w:sz w:val="16"/>
          <w:szCs w:val="16"/>
        </w:rPr>
      </w:pPr>
      <w:r>
        <w:rPr>
          <w:rFonts w:ascii="Arial" w:hAnsi="Arial" w:cs="Arial"/>
          <w:sz w:val="16"/>
          <w:szCs w:val="16"/>
        </w:rPr>
        <w:t>Fuente:</w:t>
      </w:r>
      <w:r>
        <w:rPr>
          <w:rFonts w:ascii="Arial" w:hAnsi="Arial" w:cs="Arial"/>
          <w:spacing w:val="-1"/>
          <w:sz w:val="16"/>
          <w:szCs w:val="16"/>
        </w:rPr>
        <w:t xml:space="preserve"> </w:t>
      </w:r>
      <w:r>
        <w:rPr>
          <w:rFonts w:ascii="Arial" w:hAnsi="Arial" w:cs="Arial"/>
          <w:sz w:val="16"/>
          <w:szCs w:val="16"/>
        </w:rPr>
        <w:t>SEECH,</w:t>
      </w:r>
      <w:r>
        <w:rPr>
          <w:rFonts w:ascii="Arial" w:hAnsi="Arial" w:cs="Arial"/>
          <w:spacing w:val="-2"/>
          <w:sz w:val="16"/>
          <w:szCs w:val="16"/>
        </w:rPr>
        <w:t xml:space="preserve"> </w:t>
      </w:r>
      <w:r>
        <w:rPr>
          <w:rFonts w:ascii="Arial" w:hAnsi="Arial" w:cs="Arial"/>
          <w:sz w:val="16"/>
          <w:szCs w:val="16"/>
        </w:rPr>
        <w:t>estadística</w:t>
      </w:r>
      <w:r>
        <w:rPr>
          <w:rFonts w:ascii="Arial" w:hAnsi="Arial" w:cs="Arial"/>
          <w:spacing w:val="-3"/>
          <w:sz w:val="16"/>
          <w:szCs w:val="16"/>
        </w:rPr>
        <w:t xml:space="preserve"> </w:t>
      </w:r>
      <w:r>
        <w:rPr>
          <w:rFonts w:ascii="Arial" w:hAnsi="Arial" w:cs="Arial"/>
          <w:sz w:val="16"/>
          <w:szCs w:val="16"/>
        </w:rPr>
        <w:t>para</w:t>
      </w:r>
      <w:r>
        <w:rPr>
          <w:rFonts w:ascii="Arial" w:hAnsi="Arial" w:cs="Arial"/>
          <w:spacing w:val="-4"/>
          <w:sz w:val="16"/>
          <w:szCs w:val="16"/>
        </w:rPr>
        <w:t xml:space="preserve"> </w:t>
      </w:r>
      <w:proofErr w:type="spellStart"/>
      <w:r>
        <w:rPr>
          <w:rFonts w:ascii="Arial" w:hAnsi="Arial" w:cs="Arial"/>
          <w:sz w:val="16"/>
          <w:szCs w:val="16"/>
        </w:rPr>
        <w:t>PbR</w:t>
      </w:r>
      <w:proofErr w:type="spellEnd"/>
      <w:r>
        <w:rPr>
          <w:rFonts w:ascii="Arial" w:hAnsi="Arial" w:cs="Arial"/>
          <w:spacing w:val="-2"/>
          <w:sz w:val="16"/>
          <w:szCs w:val="16"/>
        </w:rPr>
        <w:t xml:space="preserve"> </w:t>
      </w:r>
      <w:r>
        <w:rPr>
          <w:rFonts w:ascii="Arial" w:hAnsi="Arial" w:cs="Arial"/>
          <w:sz w:val="16"/>
          <w:szCs w:val="16"/>
        </w:rPr>
        <w:t>2023</w:t>
      </w:r>
    </w:p>
    <w:p>
      <w:pPr>
        <w:pStyle w:val="Textoindependiente"/>
        <w:spacing w:before="69"/>
        <w:ind w:left="-567" w:right="-801"/>
        <w:jc w:val="both"/>
        <w:rPr>
          <w:rFonts w:eastAsiaTheme="minorHAnsi" w:cs="Arial"/>
          <w:lang w:val="es-ES_tradnl"/>
        </w:rPr>
      </w:pPr>
      <w:r>
        <w:rPr>
          <w:rFonts w:eastAsiaTheme="minorHAnsi" w:cs="Arial"/>
          <w:lang w:val="es-ES_tradnl"/>
        </w:rPr>
        <w:t>El nivel de primaria estadísticamente es el que mayor tasa de cobertura tiene, ya que representa el 104.05% en la Entidad, no obstante, esto se debe a la atención que da el nivel   a las niñas y niños rezagados.</w:t>
      </w:r>
    </w:p>
    <w:p>
      <w:pPr>
        <w:pStyle w:val="Textoindependiente"/>
        <w:ind w:right="-801"/>
        <w:rPr>
          <w:rFonts w:asciiTheme="minorHAnsi" w:hAnsiTheme="minorHAnsi" w:cstheme="minorHAnsi"/>
        </w:rPr>
      </w:pPr>
    </w:p>
    <w:p>
      <w:pPr>
        <w:ind w:left="-567"/>
        <w:rPr>
          <w:rFonts w:ascii="Arial" w:hAnsi="Arial" w:cs="Arial"/>
          <w:b/>
        </w:rPr>
      </w:pPr>
      <w:bookmarkStart w:id="11" w:name="_bookmark7"/>
      <w:bookmarkStart w:id="12" w:name="_Toc121226045"/>
      <w:bookmarkEnd w:id="11"/>
      <w:r>
        <w:rPr>
          <w:rFonts w:ascii="Arial" w:hAnsi="Arial" w:cs="Arial"/>
          <w:b/>
        </w:rPr>
        <w:t>Educación secundaria</w:t>
      </w:r>
      <w:bookmarkEnd w:id="12"/>
    </w:p>
    <w:p>
      <w:pPr>
        <w:pStyle w:val="Textoindependiente"/>
        <w:spacing w:before="22" w:line="259" w:lineRule="auto"/>
        <w:ind w:left="-567" w:right="-801"/>
        <w:jc w:val="both"/>
        <w:rPr>
          <w:rFonts w:eastAsiaTheme="minorHAnsi" w:cs="Arial"/>
          <w:lang w:val="es-ES_tradnl"/>
        </w:rPr>
      </w:pPr>
      <w:r>
        <w:rPr>
          <w:rFonts w:eastAsiaTheme="minorHAnsi" w:cs="Arial"/>
          <w:lang w:val="es-ES_tradnl"/>
        </w:rPr>
        <w:t>De acuerdo con la estadística estatal la población en edad de cursar la educación secundaria   de acuerdo a la CONAPO agosto 2018 proyecciones a mitad de año, para el año 2023 es de 199 mil 551 de los cuales en la Entidad se atendieron 185 mil 353, lo que representa el 92.9% de la población etaria de 12 a 14 años. La tasa de matriculación en el sistema federal transferido es de 126 mil 219 niños y niñas representando  el 68.10% de la atención educativa.</w:t>
      </w:r>
    </w:p>
    <w:p>
      <w:pPr>
        <w:pStyle w:val="Textoindependiente"/>
        <w:spacing w:before="156"/>
        <w:ind w:left="-567" w:right="-801"/>
        <w:jc w:val="both"/>
        <w:rPr>
          <w:rFonts w:eastAsiaTheme="minorHAnsi" w:cs="Arial"/>
          <w:lang w:val="es-ES_tradnl"/>
        </w:rPr>
      </w:pPr>
      <w:r>
        <w:rPr>
          <w:rFonts w:eastAsiaTheme="minorHAnsi" w:cs="Arial"/>
          <w:lang w:val="es-ES_tradnl"/>
        </w:rPr>
        <w:t>En relación a la perspectiva de género la población etaria de 12-14 años se conforma de 100 mil 939 hombres y 98 mil 612 mujeres en la Entidad y la cobertura de las escuelas federal transferido fue de 63 mil 202 (62.6%) hombres y 63 mil 017 (63.9%)  mujeres, lo que significa que en relación a la población etaria en el ciclo escolar 2022-2023 se realizó la cobertura mayor en la población femenina.</w:t>
      </w:r>
    </w:p>
    <w:p>
      <w:pPr>
        <w:pStyle w:val="Textoindependiente"/>
        <w:spacing w:before="1"/>
        <w:ind w:left="-567" w:right="-801"/>
        <w:jc w:val="both"/>
        <w:rPr>
          <w:rFonts w:asciiTheme="minorHAnsi" w:hAnsiTheme="minorHAnsi" w:cstheme="minorHAnsi"/>
        </w:rPr>
      </w:pPr>
    </w:p>
    <w:p>
      <w:pPr>
        <w:pStyle w:val="Textoindependiente"/>
        <w:ind w:left="-567" w:right="-801"/>
        <w:jc w:val="both"/>
        <w:rPr>
          <w:rFonts w:eastAsiaTheme="minorHAnsi" w:cs="Arial"/>
          <w:lang w:val="es-ES_tradnl"/>
        </w:rPr>
      </w:pPr>
      <w:r>
        <w:rPr>
          <w:rFonts w:eastAsiaTheme="minorHAnsi" w:cs="Arial"/>
          <w:lang w:val="es-ES_tradnl"/>
        </w:rPr>
        <w:t>De acuerdo con los datos de la población CONAPO agosto 2018 proyecciones a mitad de año, en el estado de Chihuahua para el año 2023 es la siguiente:</w:t>
      </w:r>
    </w:p>
    <w:p>
      <w:pPr>
        <w:spacing w:before="232" w:after="3"/>
        <w:ind w:left="-567" w:right="-801"/>
        <w:rPr>
          <w:rFonts w:ascii="Arial" w:hAnsi="Arial" w:cs="Arial"/>
        </w:rPr>
      </w:pPr>
      <w:r>
        <w:rPr>
          <w:rFonts w:ascii="Arial" w:hAnsi="Arial" w:cs="Arial"/>
        </w:rPr>
        <w:t>Cuadro 4. Cobertura en Educación Secundaria</w:t>
      </w:r>
    </w:p>
    <w:tbl>
      <w:tblPr>
        <w:tblW w:w="10521" w:type="dxa"/>
        <w:tblInd w:w="-884" w:type="dxa"/>
        <w:tblCellMar>
          <w:left w:w="70" w:type="dxa"/>
          <w:right w:w="70" w:type="dxa"/>
        </w:tblCellMar>
        <w:tblLook w:val="04A0" w:firstRow="1" w:lastRow="0" w:firstColumn="1" w:lastColumn="0" w:noHBand="0" w:noVBand="1"/>
      </w:tblPr>
      <w:tblGrid>
        <w:gridCol w:w="1333"/>
        <w:gridCol w:w="1230"/>
        <w:gridCol w:w="1106"/>
        <w:gridCol w:w="1232"/>
        <w:gridCol w:w="1104"/>
        <w:gridCol w:w="1072"/>
        <w:gridCol w:w="1154"/>
        <w:gridCol w:w="1123"/>
        <w:gridCol w:w="1167"/>
      </w:tblGrid>
      <w:tr>
        <w:trPr>
          <w:trHeight w:val="367"/>
        </w:trPr>
        <w:tc>
          <w:tcPr>
            <w:tcW w:w="1333"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336"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852" w:type="dxa"/>
            <w:gridSpan w:val="6"/>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trHeight w:val="453"/>
        </w:trPr>
        <w:tc>
          <w:tcPr>
            <w:tcW w:w="1333"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230"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106"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232"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104"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72"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154"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123"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167"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trHeight w:val="245"/>
        </w:trPr>
        <w:tc>
          <w:tcPr>
            <w:tcW w:w="1333"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Secundaria</w:t>
            </w:r>
          </w:p>
        </w:tc>
        <w:tc>
          <w:tcPr>
            <w:tcW w:w="1230"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199,551</w:t>
            </w:r>
          </w:p>
        </w:tc>
        <w:tc>
          <w:tcPr>
            <w:tcW w:w="110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232"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126,219</w:t>
            </w:r>
          </w:p>
        </w:tc>
        <w:tc>
          <w:tcPr>
            <w:tcW w:w="1104"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42950</w:t>
            </w:r>
          </w:p>
        </w:tc>
        <w:tc>
          <w:tcPr>
            <w:tcW w:w="1072"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1447</w:t>
            </w:r>
          </w:p>
        </w:tc>
        <w:tc>
          <w:tcPr>
            <w:tcW w:w="115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14,737</w:t>
            </w:r>
          </w:p>
        </w:tc>
        <w:tc>
          <w:tcPr>
            <w:tcW w:w="1123"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185,353</w:t>
            </w:r>
          </w:p>
        </w:tc>
        <w:tc>
          <w:tcPr>
            <w:tcW w:w="116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14,198</w:t>
            </w:r>
          </w:p>
        </w:tc>
      </w:tr>
      <w:tr>
        <w:trPr>
          <w:trHeight w:val="269"/>
        </w:trPr>
        <w:tc>
          <w:tcPr>
            <w:tcW w:w="1333"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23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10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2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63.25%</w:t>
            </w:r>
          </w:p>
        </w:tc>
        <w:tc>
          <w:tcPr>
            <w:tcW w:w="11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21.52%</w:t>
            </w:r>
          </w:p>
        </w:tc>
        <w:tc>
          <w:tcPr>
            <w:tcW w:w="107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0.73%</w:t>
            </w:r>
          </w:p>
        </w:tc>
        <w:tc>
          <w:tcPr>
            <w:tcW w:w="115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7.39%</w:t>
            </w:r>
          </w:p>
        </w:tc>
        <w:tc>
          <w:tcPr>
            <w:tcW w:w="112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92.89%</w:t>
            </w:r>
          </w:p>
        </w:tc>
        <w:tc>
          <w:tcPr>
            <w:tcW w:w="116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7.11%</w:t>
            </w:r>
          </w:p>
        </w:tc>
      </w:tr>
      <w:tr>
        <w:trPr>
          <w:trHeight w:val="245"/>
        </w:trPr>
        <w:tc>
          <w:tcPr>
            <w:tcW w:w="1333"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23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10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23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68.10%</w:t>
            </w:r>
          </w:p>
        </w:tc>
        <w:tc>
          <w:tcPr>
            <w:tcW w:w="11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23.17%</w:t>
            </w:r>
          </w:p>
        </w:tc>
        <w:tc>
          <w:tcPr>
            <w:tcW w:w="107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0.78%</w:t>
            </w:r>
          </w:p>
        </w:tc>
        <w:tc>
          <w:tcPr>
            <w:tcW w:w="115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7.95%</w:t>
            </w:r>
          </w:p>
        </w:tc>
        <w:tc>
          <w:tcPr>
            <w:tcW w:w="112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6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spacing w:before="177"/>
        <w:ind w:left="-567" w:right="-801"/>
        <w:rPr>
          <w:rFonts w:ascii="Arial" w:hAnsi="Arial" w:cs="Arial"/>
          <w:sz w:val="16"/>
          <w:szCs w:val="16"/>
        </w:rPr>
      </w:pPr>
      <w:r>
        <w:rPr>
          <w:rFonts w:ascii="Arial" w:hAnsi="Arial" w:cs="Arial"/>
          <w:sz w:val="16"/>
          <w:szCs w:val="16"/>
        </w:rPr>
        <w:t>Fuente:</w:t>
      </w:r>
      <w:r>
        <w:rPr>
          <w:rFonts w:ascii="Arial" w:hAnsi="Arial" w:cs="Arial"/>
          <w:spacing w:val="-1"/>
          <w:sz w:val="16"/>
          <w:szCs w:val="16"/>
        </w:rPr>
        <w:t xml:space="preserve"> </w:t>
      </w:r>
      <w:r>
        <w:rPr>
          <w:rFonts w:ascii="Arial" w:hAnsi="Arial" w:cs="Arial"/>
          <w:sz w:val="16"/>
          <w:szCs w:val="16"/>
        </w:rPr>
        <w:t>SEECH,</w:t>
      </w:r>
      <w:r>
        <w:rPr>
          <w:rFonts w:ascii="Arial" w:hAnsi="Arial" w:cs="Arial"/>
          <w:spacing w:val="-2"/>
          <w:sz w:val="16"/>
          <w:szCs w:val="16"/>
        </w:rPr>
        <w:t xml:space="preserve"> </w:t>
      </w:r>
      <w:r>
        <w:rPr>
          <w:rFonts w:ascii="Arial" w:hAnsi="Arial" w:cs="Arial"/>
          <w:sz w:val="16"/>
          <w:szCs w:val="16"/>
        </w:rPr>
        <w:t>estadística</w:t>
      </w:r>
      <w:r>
        <w:rPr>
          <w:rFonts w:ascii="Arial" w:hAnsi="Arial" w:cs="Arial"/>
          <w:spacing w:val="-3"/>
          <w:sz w:val="16"/>
          <w:szCs w:val="16"/>
        </w:rPr>
        <w:t xml:space="preserve"> </w:t>
      </w:r>
      <w:r>
        <w:rPr>
          <w:rFonts w:ascii="Arial" w:hAnsi="Arial" w:cs="Arial"/>
          <w:sz w:val="16"/>
          <w:szCs w:val="16"/>
        </w:rPr>
        <w:t>para</w:t>
      </w:r>
      <w:r>
        <w:rPr>
          <w:rFonts w:ascii="Arial" w:hAnsi="Arial" w:cs="Arial"/>
          <w:spacing w:val="-4"/>
          <w:sz w:val="16"/>
          <w:szCs w:val="16"/>
        </w:rPr>
        <w:t xml:space="preserve"> </w:t>
      </w:r>
      <w:proofErr w:type="spellStart"/>
      <w:r>
        <w:rPr>
          <w:rFonts w:ascii="Arial" w:hAnsi="Arial" w:cs="Arial"/>
          <w:sz w:val="16"/>
          <w:szCs w:val="16"/>
        </w:rPr>
        <w:t>PbR</w:t>
      </w:r>
      <w:proofErr w:type="spellEnd"/>
      <w:r>
        <w:rPr>
          <w:rFonts w:ascii="Arial" w:hAnsi="Arial" w:cs="Arial"/>
          <w:spacing w:val="-2"/>
          <w:sz w:val="16"/>
          <w:szCs w:val="16"/>
        </w:rPr>
        <w:t xml:space="preserve"> </w:t>
      </w:r>
      <w:r>
        <w:rPr>
          <w:rFonts w:ascii="Arial" w:hAnsi="Arial" w:cs="Arial"/>
          <w:sz w:val="16"/>
          <w:szCs w:val="16"/>
        </w:rPr>
        <w:t>2023</w:t>
      </w:r>
    </w:p>
    <w:p>
      <w:pPr>
        <w:ind w:left="-567" w:right="-801"/>
        <w:rPr>
          <w:rFonts w:cstheme="minorHAnsi"/>
          <w:b/>
          <w:sz w:val="24"/>
          <w:szCs w:val="24"/>
        </w:rPr>
      </w:pPr>
      <w:bookmarkStart w:id="13" w:name="_bookmark8"/>
      <w:bookmarkEnd w:id="13"/>
    </w:p>
    <w:p>
      <w:pPr>
        <w:ind w:left="-567" w:right="-801"/>
        <w:rPr>
          <w:rFonts w:cstheme="minorHAnsi"/>
          <w:b/>
          <w:sz w:val="24"/>
          <w:szCs w:val="24"/>
        </w:rPr>
      </w:pPr>
    </w:p>
    <w:p>
      <w:pPr>
        <w:ind w:left="-567"/>
        <w:rPr>
          <w:rStyle w:val="nfasis"/>
          <w:rFonts w:ascii="Arial" w:hAnsi="Arial" w:cs="Arial"/>
          <w:b/>
          <w:i w:val="0"/>
        </w:rPr>
      </w:pPr>
      <w:bookmarkStart w:id="14" w:name="_Toc121226046"/>
      <w:r>
        <w:rPr>
          <w:rStyle w:val="nfasis"/>
          <w:rFonts w:ascii="Arial" w:hAnsi="Arial" w:cs="Arial"/>
          <w:b/>
          <w:i w:val="0"/>
        </w:rPr>
        <w:t>Educación Indígena</w:t>
      </w:r>
      <w:bookmarkEnd w:id="14"/>
    </w:p>
    <w:p>
      <w:pPr>
        <w:ind w:left="-567" w:right="-801"/>
        <w:rPr>
          <w:lang w:val="es-MX" w:eastAsia="zh-CN"/>
        </w:rPr>
      </w:pPr>
    </w:p>
    <w:p>
      <w:pPr>
        <w:pStyle w:val="Textoindependiente"/>
        <w:spacing w:before="1" w:line="259" w:lineRule="auto"/>
        <w:ind w:left="-567" w:right="-801"/>
        <w:jc w:val="both"/>
        <w:rPr>
          <w:rFonts w:eastAsiaTheme="minorHAnsi" w:cs="Arial"/>
          <w:lang w:val="es-ES_tradnl"/>
        </w:rPr>
      </w:pPr>
      <w:r>
        <w:rPr>
          <w:rFonts w:eastAsiaTheme="minorHAnsi" w:cs="Arial"/>
          <w:lang w:val="es-ES_tradnl"/>
        </w:rPr>
        <w:t>En cuanto al nivel de preescolar Indígena, no se cuenta con la información disponible de la población de la etnia desagregada por rangos etarios, por lo que dificulta el poder hacer una  estimación de los niños que se encuentran sin el servicio educativo, sin embargo, se puede observar que ha habido un incremento en la atención brindada, a excepción del ciclo 2020-2021 donde se observa un estancamiento derivado de la pandemia.</w:t>
      </w:r>
    </w:p>
    <w:p>
      <w:pPr>
        <w:pStyle w:val="Textoindependiente"/>
        <w:spacing w:before="1" w:line="259" w:lineRule="auto"/>
        <w:ind w:left="-567" w:right="-801"/>
        <w:jc w:val="both"/>
        <w:rPr>
          <w:rFonts w:eastAsiaTheme="minorHAnsi" w:cs="Arial"/>
          <w:lang w:val="es-ES_tradnl"/>
        </w:rPr>
      </w:pPr>
    </w:p>
    <w:p>
      <w:pPr>
        <w:pStyle w:val="Textoindependiente"/>
        <w:spacing w:before="1" w:line="259" w:lineRule="auto"/>
        <w:ind w:left="-567" w:right="-801"/>
        <w:jc w:val="both"/>
        <w:rPr>
          <w:rFonts w:eastAsiaTheme="minorHAnsi" w:cs="Arial"/>
          <w:lang w:val="es-ES_tradnl"/>
        </w:rPr>
      </w:pPr>
    </w:p>
    <w:p>
      <w:pPr>
        <w:pStyle w:val="Textoindependiente"/>
        <w:spacing w:before="1" w:line="259" w:lineRule="auto"/>
        <w:ind w:left="-567" w:right="-801"/>
        <w:jc w:val="both"/>
        <w:rPr>
          <w:rFonts w:cs="Arial"/>
          <w:sz w:val="20"/>
        </w:rPr>
      </w:pPr>
      <w:r>
        <w:rPr>
          <w:rFonts w:cs="Arial"/>
          <w:sz w:val="20"/>
        </w:rPr>
        <w:t>Cuadro 5. Cobertura en Educación Preescolar Indígena</w:t>
      </w:r>
    </w:p>
    <w:tbl>
      <w:tblPr>
        <w:tblW w:w="9794" w:type="dxa"/>
        <w:tblInd w:w="-338" w:type="dxa"/>
        <w:tblCellMar>
          <w:left w:w="70" w:type="dxa"/>
          <w:right w:w="70" w:type="dxa"/>
        </w:tblCellMar>
        <w:tblLook w:val="04A0" w:firstRow="1" w:lastRow="0" w:firstColumn="1" w:lastColumn="0" w:noHBand="0" w:noVBand="1"/>
      </w:tblPr>
      <w:tblGrid>
        <w:gridCol w:w="1161"/>
        <w:gridCol w:w="1438"/>
        <w:gridCol w:w="1438"/>
        <w:gridCol w:w="1438"/>
        <w:gridCol w:w="1438"/>
        <w:gridCol w:w="1438"/>
        <w:gridCol w:w="1443"/>
      </w:tblGrid>
      <w:tr>
        <w:trPr>
          <w:trHeight w:val="288"/>
        </w:trPr>
        <w:tc>
          <w:tcPr>
            <w:tcW w:w="9794" w:type="dxa"/>
            <w:gridSpan w:val="7"/>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b/>
                <w:bCs/>
                <w:color w:val="FFFFFF"/>
                <w:sz w:val="24"/>
                <w:szCs w:val="24"/>
                <w:lang w:val="es-MX" w:eastAsia="es-MX"/>
              </w:rPr>
            </w:pPr>
            <w:r>
              <w:rPr>
                <w:rFonts w:ascii="Calibri" w:eastAsia="Times New Roman" w:hAnsi="Calibri" w:cs="Calibri"/>
                <w:b/>
                <w:bCs/>
                <w:color w:val="FFFFFF"/>
                <w:sz w:val="24"/>
                <w:szCs w:val="24"/>
                <w:lang w:val="es-MX" w:eastAsia="es-MX"/>
              </w:rPr>
              <w:t xml:space="preserve">Educación preescolar indígena </w:t>
            </w:r>
          </w:p>
        </w:tc>
      </w:tr>
      <w:tr>
        <w:trPr>
          <w:trHeight w:val="301"/>
        </w:trPr>
        <w:tc>
          <w:tcPr>
            <w:tcW w:w="1161"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Año</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2010-2011</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2015-2016</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 xml:space="preserve">2019-2020 </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2020-2021</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2021-2022</w:t>
            </w:r>
          </w:p>
        </w:tc>
        <w:tc>
          <w:tcPr>
            <w:tcW w:w="1443"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2022-2023</w:t>
            </w:r>
          </w:p>
        </w:tc>
      </w:tr>
      <w:tr>
        <w:trPr>
          <w:trHeight w:val="288"/>
        </w:trPr>
        <w:tc>
          <w:tcPr>
            <w:tcW w:w="1161" w:type="dxa"/>
            <w:tcBorders>
              <w:top w:val="single" w:sz="8" w:space="0" w:color="990099"/>
              <w:left w:val="single" w:sz="8" w:space="0" w:color="990099"/>
              <w:bottom w:val="single" w:sz="8" w:space="0" w:color="990099"/>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Alumnos </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3,732</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4,395</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4,523</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4,516</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4,739</w:t>
            </w:r>
          </w:p>
        </w:tc>
        <w:tc>
          <w:tcPr>
            <w:tcW w:w="1443" w:type="dxa"/>
            <w:tcBorders>
              <w:top w:val="single" w:sz="8" w:space="0" w:color="990099"/>
              <w:left w:val="nil"/>
              <w:bottom w:val="single" w:sz="8" w:space="0" w:color="990099"/>
              <w:right w:val="single" w:sz="8" w:space="0" w:color="990099"/>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4,854</w:t>
            </w:r>
          </w:p>
        </w:tc>
      </w:tr>
      <w:tr>
        <w:trPr>
          <w:trHeight w:val="274"/>
        </w:trPr>
        <w:tc>
          <w:tcPr>
            <w:tcW w:w="1161"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Docentes</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202</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224</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229</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222</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229</w:t>
            </w:r>
          </w:p>
        </w:tc>
        <w:tc>
          <w:tcPr>
            <w:tcW w:w="1443"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227</w:t>
            </w:r>
          </w:p>
        </w:tc>
      </w:tr>
      <w:tr>
        <w:trPr>
          <w:trHeight w:val="274"/>
        </w:trPr>
        <w:tc>
          <w:tcPr>
            <w:tcW w:w="1161"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Escuelas </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178</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171</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172</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171</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175</w:t>
            </w:r>
          </w:p>
        </w:tc>
        <w:tc>
          <w:tcPr>
            <w:tcW w:w="1443"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173</w:t>
            </w:r>
          </w:p>
        </w:tc>
      </w:tr>
    </w:tbl>
    <w:p>
      <w:pPr>
        <w:spacing w:before="4"/>
        <w:ind w:left="-567"/>
        <w:rPr>
          <w:rFonts w:ascii="Arial" w:hAnsi="Arial" w:cs="Arial"/>
          <w:sz w:val="16"/>
          <w:szCs w:val="16"/>
        </w:rPr>
      </w:pPr>
    </w:p>
    <w:p>
      <w:pPr>
        <w:spacing w:before="4"/>
        <w:ind w:left="-284"/>
        <w:rPr>
          <w:rFonts w:ascii="Arial" w:hAnsi="Arial" w:cs="Arial"/>
          <w:sz w:val="16"/>
          <w:szCs w:val="16"/>
        </w:rPr>
      </w:pPr>
      <w:r>
        <w:rPr>
          <w:rFonts w:ascii="Arial" w:hAnsi="Arial" w:cs="Arial"/>
          <w:sz w:val="16"/>
          <w:szCs w:val="16"/>
        </w:rPr>
        <w:t>Fuente:</w:t>
      </w:r>
      <w:r>
        <w:rPr>
          <w:rFonts w:ascii="Arial" w:hAnsi="Arial" w:cs="Arial"/>
          <w:spacing w:val="-3"/>
          <w:sz w:val="16"/>
          <w:szCs w:val="16"/>
        </w:rPr>
        <w:t xml:space="preserve"> </w:t>
      </w:r>
      <w:r>
        <w:rPr>
          <w:rFonts w:ascii="Arial" w:hAnsi="Arial" w:cs="Arial"/>
          <w:sz w:val="16"/>
          <w:szCs w:val="16"/>
        </w:rPr>
        <w:t>SEECH,</w:t>
      </w:r>
      <w:r>
        <w:rPr>
          <w:rFonts w:ascii="Arial" w:hAnsi="Arial" w:cs="Arial"/>
          <w:spacing w:val="-2"/>
          <w:sz w:val="16"/>
          <w:szCs w:val="16"/>
        </w:rPr>
        <w:t xml:space="preserve"> </w:t>
      </w:r>
      <w:r>
        <w:rPr>
          <w:rFonts w:ascii="Arial" w:hAnsi="Arial" w:cs="Arial"/>
          <w:sz w:val="16"/>
          <w:szCs w:val="16"/>
        </w:rPr>
        <w:t>estadística</w:t>
      </w:r>
      <w:r>
        <w:rPr>
          <w:rFonts w:ascii="Arial" w:hAnsi="Arial" w:cs="Arial"/>
          <w:spacing w:val="-4"/>
          <w:sz w:val="16"/>
          <w:szCs w:val="16"/>
        </w:rPr>
        <w:t xml:space="preserve"> </w:t>
      </w:r>
      <w:r>
        <w:rPr>
          <w:rFonts w:ascii="Arial" w:hAnsi="Arial" w:cs="Arial"/>
          <w:sz w:val="16"/>
          <w:szCs w:val="16"/>
        </w:rPr>
        <w:t>para</w:t>
      </w:r>
      <w:r>
        <w:rPr>
          <w:rFonts w:ascii="Arial" w:hAnsi="Arial" w:cs="Arial"/>
          <w:spacing w:val="-3"/>
          <w:sz w:val="16"/>
          <w:szCs w:val="16"/>
        </w:rPr>
        <w:t xml:space="preserve"> </w:t>
      </w:r>
      <w:r>
        <w:rPr>
          <w:rFonts w:ascii="Arial" w:hAnsi="Arial" w:cs="Arial"/>
          <w:sz w:val="16"/>
          <w:szCs w:val="16"/>
        </w:rPr>
        <w:t>PbR-2010 a 2023</w:t>
      </w:r>
      <w:r>
        <w:rPr>
          <w:rFonts w:ascii="Arial" w:hAnsi="Arial" w:cs="Arial"/>
          <w:spacing w:val="-3"/>
          <w:sz w:val="16"/>
          <w:szCs w:val="16"/>
        </w:rPr>
        <w:t xml:space="preserve"> </w:t>
      </w:r>
    </w:p>
    <w:p>
      <w:pPr>
        <w:pStyle w:val="Textoindependiente"/>
        <w:spacing w:before="1" w:line="259" w:lineRule="auto"/>
        <w:ind w:right="249"/>
        <w:jc w:val="both"/>
        <w:rPr>
          <w:rFonts w:eastAsiaTheme="minorHAnsi" w:cs="Arial"/>
          <w:lang w:val="es-ES_tradnl"/>
        </w:rPr>
      </w:pPr>
    </w:p>
    <w:p>
      <w:pPr>
        <w:pStyle w:val="Textoindependiente"/>
        <w:spacing w:before="4"/>
        <w:rPr>
          <w:rFonts w:cs="Arial"/>
          <w:sz w:val="2"/>
        </w:rPr>
      </w:pPr>
    </w:p>
    <w:p>
      <w:pPr>
        <w:pStyle w:val="Textoindependiente"/>
        <w:spacing w:before="1" w:line="259" w:lineRule="auto"/>
        <w:ind w:left="-567" w:right="-801"/>
        <w:jc w:val="both"/>
        <w:rPr>
          <w:rFonts w:eastAsiaTheme="minorHAnsi" w:cs="Arial"/>
          <w:lang w:val="es-ES_tradnl"/>
        </w:rPr>
      </w:pPr>
      <w:r>
        <w:rPr>
          <w:rFonts w:eastAsiaTheme="minorHAnsi" w:cs="Arial"/>
          <w:lang w:val="es-ES_tradnl"/>
        </w:rPr>
        <w:t>Respecto de la primaria Indígena, no se cuenta con la información disponible de la población de la etnia desagregada por rangos etarios, por lo que dificulta el poder hacer una estimación de los niños que se encuentran sin el servicio educativo, al igual que en el nivel de preescolar se muestra una tendencia de mayor cobertura excepto en los ciclos 2019-2020 y 2020-2021.</w:t>
      </w:r>
    </w:p>
    <w:p>
      <w:pPr>
        <w:pStyle w:val="Textoindependiente"/>
        <w:spacing w:before="1" w:line="259" w:lineRule="auto"/>
        <w:ind w:left="-567" w:right="-801"/>
        <w:jc w:val="both"/>
        <w:rPr>
          <w:rFonts w:eastAsiaTheme="minorHAnsi" w:cs="Arial"/>
          <w:lang w:val="es-ES_tradnl"/>
        </w:rPr>
      </w:pPr>
    </w:p>
    <w:p>
      <w:pPr>
        <w:pStyle w:val="Textoindependiente"/>
        <w:spacing w:before="1" w:line="259" w:lineRule="auto"/>
        <w:ind w:left="-567" w:right="-801"/>
        <w:jc w:val="both"/>
        <w:rPr>
          <w:rFonts w:eastAsiaTheme="minorHAnsi" w:cs="Arial"/>
          <w:lang w:val="es-ES_tradnl"/>
        </w:rPr>
      </w:pPr>
    </w:p>
    <w:p>
      <w:pPr>
        <w:pStyle w:val="Textoindependiente"/>
        <w:spacing w:before="1" w:line="259" w:lineRule="auto"/>
        <w:ind w:left="-567" w:right="-801"/>
        <w:jc w:val="both"/>
        <w:rPr>
          <w:rFonts w:cs="Arial"/>
        </w:rPr>
      </w:pPr>
      <w:r>
        <w:rPr>
          <w:rFonts w:cs="Arial"/>
          <w:sz w:val="20"/>
        </w:rPr>
        <w:t>Cuadro</w:t>
      </w:r>
      <w:r>
        <w:rPr>
          <w:rFonts w:cs="Arial"/>
          <w:spacing w:val="-3"/>
          <w:sz w:val="20"/>
        </w:rPr>
        <w:t xml:space="preserve"> </w:t>
      </w:r>
      <w:r>
        <w:rPr>
          <w:rFonts w:cs="Arial"/>
          <w:sz w:val="20"/>
        </w:rPr>
        <w:t>6. Cobertura</w:t>
      </w:r>
      <w:r>
        <w:rPr>
          <w:rFonts w:cs="Arial"/>
          <w:spacing w:val="-2"/>
          <w:sz w:val="20"/>
        </w:rPr>
        <w:t xml:space="preserve"> </w:t>
      </w:r>
      <w:r>
        <w:rPr>
          <w:rFonts w:cs="Arial"/>
          <w:sz w:val="20"/>
        </w:rPr>
        <w:t>en</w:t>
      </w:r>
      <w:r>
        <w:rPr>
          <w:rFonts w:cs="Arial"/>
          <w:spacing w:val="-3"/>
          <w:sz w:val="20"/>
        </w:rPr>
        <w:t xml:space="preserve"> </w:t>
      </w:r>
      <w:r>
        <w:rPr>
          <w:rFonts w:cs="Arial"/>
          <w:sz w:val="20"/>
        </w:rPr>
        <w:t>Educación</w:t>
      </w:r>
      <w:r>
        <w:rPr>
          <w:rFonts w:cs="Arial"/>
          <w:spacing w:val="-2"/>
          <w:sz w:val="20"/>
        </w:rPr>
        <w:t xml:space="preserve"> </w:t>
      </w:r>
      <w:r>
        <w:rPr>
          <w:rFonts w:cs="Arial"/>
          <w:sz w:val="20"/>
        </w:rPr>
        <w:t>P</w:t>
      </w:r>
      <w:r>
        <w:rPr>
          <w:rFonts w:cs="Arial"/>
        </w:rPr>
        <w:t>rimaria</w:t>
      </w:r>
      <w:r>
        <w:rPr>
          <w:rFonts w:cs="Arial"/>
          <w:spacing w:val="-3"/>
        </w:rPr>
        <w:t xml:space="preserve"> </w:t>
      </w:r>
      <w:r>
        <w:rPr>
          <w:rFonts w:cs="Arial"/>
        </w:rPr>
        <w:t>Indígena</w:t>
      </w:r>
    </w:p>
    <w:tbl>
      <w:tblPr>
        <w:tblW w:w="10154" w:type="dxa"/>
        <w:tblInd w:w="-750" w:type="dxa"/>
        <w:tblCellMar>
          <w:left w:w="70" w:type="dxa"/>
          <w:right w:w="70" w:type="dxa"/>
        </w:tblCellMar>
        <w:tblLook w:val="04A0" w:firstRow="1" w:lastRow="0" w:firstColumn="1" w:lastColumn="0" w:noHBand="0" w:noVBand="1"/>
      </w:tblPr>
      <w:tblGrid>
        <w:gridCol w:w="1203"/>
        <w:gridCol w:w="1490"/>
        <w:gridCol w:w="1490"/>
        <w:gridCol w:w="1490"/>
        <w:gridCol w:w="1490"/>
        <w:gridCol w:w="1490"/>
        <w:gridCol w:w="1501"/>
      </w:tblGrid>
      <w:tr>
        <w:trPr>
          <w:trHeight w:val="266"/>
        </w:trPr>
        <w:tc>
          <w:tcPr>
            <w:tcW w:w="10154" w:type="dxa"/>
            <w:gridSpan w:val="7"/>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b/>
                <w:bCs/>
                <w:color w:val="FFFFFF"/>
                <w:sz w:val="24"/>
                <w:szCs w:val="24"/>
                <w:lang w:val="es-MX" w:eastAsia="es-MX"/>
              </w:rPr>
            </w:pPr>
            <w:r>
              <w:rPr>
                <w:rFonts w:ascii="Calibri" w:eastAsia="Times New Roman" w:hAnsi="Calibri" w:cs="Calibri"/>
                <w:b/>
                <w:bCs/>
                <w:color w:val="FFFFFF"/>
                <w:sz w:val="24"/>
                <w:szCs w:val="24"/>
                <w:lang w:val="es-MX" w:eastAsia="es-MX"/>
              </w:rPr>
              <w:t xml:space="preserve">Educación primaria indígena </w:t>
            </w:r>
          </w:p>
        </w:tc>
      </w:tr>
      <w:tr>
        <w:trPr>
          <w:trHeight w:val="279"/>
        </w:trPr>
        <w:tc>
          <w:tcPr>
            <w:tcW w:w="1203"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Año</w:t>
            </w:r>
          </w:p>
        </w:tc>
        <w:tc>
          <w:tcPr>
            <w:tcW w:w="149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2010-2011</w:t>
            </w:r>
          </w:p>
        </w:tc>
        <w:tc>
          <w:tcPr>
            <w:tcW w:w="149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2015-2016</w:t>
            </w:r>
          </w:p>
        </w:tc>
        <w:tc>
          <w:tcPr>
            <w:tcW w:w="149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 xml:space="preserve">2019-2020 </w:t>
            </w:r>
          </w:p>
        </w:tc>
        <w:tc>
          <w:tcPr>
            <w:tcW w:w="149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2020-2021</w:t>
            </w:r>
          </w:p>
        </w:tc>
        <w:tc>
          <w:tcPr>
            <w:tcW w:w="149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2021-2022</w:t>
            </w:r>
          </w:p>
        </w:tc>
        <w:tc>
          <w:tcPr>
            <w:tcW w:w="1496"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2022-2023</w:t>
            </w:r>
          </w:p>
        </w:tc>
      </w:tr>
      <w:tr>
        <w:trPr>
          <w:trHeight w:val="266"/>
        </w:trPr>
        <w:tc>
          <w:tcPr>
            <w:tcW w:w="1203" w:type="dxa"/>
            <w:tcBorders>
              <w:top w:val="single" w:sz="8" w:space="0" w:color="990099"/>
              <w:left w:val="single" w:sz="8" w:space="0" w:color="990099"/>
              <w:bottom w:val="single" w:sz="8" w:space="0" w:color="990099"/>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Alumnos </w:t>
            </w:r>
          </w:p>
        </w:tc>
        <w:tc>
          <w:tcPr>
            <w:tcW w:w="1490"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18,795</w:t>
            </w:r>
          </w:p>
        </w:tc>
        <w:tc>
          <w:tcPr>
            <w:tcW w:w="1490"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20,089</w:t>
            </w:r>
          </w:p>
        </w:tc>
        <w:tc>
          <w:tcPr>
            <w:tcW w:w="1490"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19,949</w:t>
            </w:r>
          </w:p>
        </w:tc>
        <w:tc>
          <w:tcPr>
            <w:tcW w:w="1490"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19,897</w:t>
            </w:r>
          </w:p>
        </w:tc>
        <w:tc>
          <w:tcPr>
            <w:tcW w:w="1490"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20,415</w:t>
            </w:r>
          </w:p>
        </w:tc>
        <w:tc>
          <w:tcPr>
            <w:tcW w:w="1496" w:type="dxa"/>
            <w:tcBorders>
              <w:top w:val="single" w:sz="8" w:space="0" w:color="990099"/>
              <w:left w:val="nil"/>
              <w:bottom w:val="single" w:sz="8" w:space="0" w:color="990099"/>
              <w:right w:val="single" w:sz="8" w:space="0" w:color="990099"/>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20,457</w:t>
            </w:r>
          </w:p>
        </w:tc>
      </w:tr>
      <w:tr>
        <w:trPr>
          <w:trHeight w:val="254"/>
        </w:trPr>
        <w:tc>
          <w:tcPr>
            <w:tcW w:w="1203"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Docentes </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892</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935</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947</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927</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913</w:t>
            </w:r>
          </w:p>
        </w:tc>
        <w:tc>
          <w:tcPr>
            <w:tcW w:w="1496"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923</w:t>
            </w:r>
          </w:p>
        </w:tc>
      </w:tr>
      <w:tr>
        <w:trPr>
          <w:trHeight w:val="254"/>
        </w:trPr>
        <w:tc>
          <w:tcPr>
            <w:tcW w:w="1203"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Escuelas </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350</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349</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349</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346</w:t>
            </w:r>
          </w:p>
        </w:tc>
        <w:tc>
          <w:tcPr>
            <w:tcW w:w="1490"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344</w:t>
            </w:r>
          </w:p>
        </w:tc>
        <w:tc>
          <w:tcPr>
            <w:tcW w:w="1496"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341</w:t>
            </w:r>
          </w:p>
        </w:tc>
      </w:tr>
    </w:tbl>
    <w:p>
      <w:pPr>
        <w:spacing w:before="4"/>
        <w:ind w:left="-567"/>
        <w:rPr>
          <w:rFonts w:ascii="Arial" w:hAnsi="Arial" w:cs="Arial"/>
          <w:sz w:val="16"/>
          <w:szCs w:val="16"/>
        </w:rPr>
      </w:pPr>
    </w:p>
    <w:p>
      <w:pPr>
        <w:spacing w:before="4"/>
        <w:ind w:left="-567"/>
        <w:rPr>
          <w:rFonts w:ascii="Arial" w:hAnsi="Arial" w:cs="Arial"/>
          <w:spacing w:val="-3"/>
          <w:sz w:val="16"/>
          <w:szCs w:val="16"/>
        </w:rPr>
      </w:pPr>
      <w:r>
        <w:rPr>
          <w:rFonts w:ascii="Arial" w:hAnsi="Arial" w:cs="Arial"/>
          <w:sz w:val="16"/>
          <w:szCs w:val="16"/>
        </w:rPr>
        <w:t>Fuente:</w:t>
      </w:r>
      <w:r>
        <w:rPr>
          <w:rFonts w:ascii="Arial" w:hAnsi="Arial" w:cs="Arial"/>
          <w:spacing w:val="-3"/>
          <w:sz w:val="16"/>
          <w:szCs w:val="16"/>
        </w:rPr>
        <w:t xml:space="preserve"> </w:t>
      </w:r>
      <w:r>
        <w:rPr>
          <w:rFonts w:ascii="Arial" w:hAnsi="Arial" w:cs="Arial"/>
          <w:sz w:val="16"/>
          <w:szCs w:val="16"/>
        </w:rPr>
        <w:t>SEECH,</w:t>
      </w:r>
      <w:r>
        <w:rPr>
          <w:rFonts w:ascii="Arial" w:hAnsi="Arial" w:cs="Arial"/>
          <w:spacing w:val="-2"/>
          <w:sz w:val="16"/>
          <w:szCs w:val="16"/>
        </w:rPr>
        <w:t xml:space="preserve"> </w:t>
      </w:r>
      <w:r>
        <w:rPr>
          <w:rFonts w:ascii="Arial" w:hAnsi="Arial" w:cs="Arial"/>
          <w:sz w:val="16"/>
          <w:szCs w:val="16"/>
        </w:rPr>
        <w:t>estadística</w:t>
      </w:r>
      <w:r>
        <w:rPr>
          <w:rFonts w:ascii="Arial" w:hAnsi="Arial" w:cs="Arial"/>
          <w:spacing w:val="-4"/>
          <w:sz w:val="16"/>
          <w:szCs w:val="16"/>
        </w:rPr>
        <w:t xml:space="preserve"> </w:t>
      </w:r>
      <w:r>
        <w:rPr>
          <w:rFonts w:ascii="Arial" w:hAnsi="Arial" w:cs="Arial"/>
          <w:sz w:val="16"/>
          <w:szCs w:val="16"/>
        </w:rPr>
        <w:t>para</w:t>
      </w:r>
      <w:r>
        <w:rPr>
          <w:rFonts w:ascii="Arial" w:hAnsi="Arial" w:cs="Arial"/>
          <w:spacing w:val="-3"/>
          <w:sz w:val="16"/>
          <w:szCs w:val="16"/>
        </w:rPr>
        <w:t xml:space="preserve"> </w:t>
      </w:r>
      <w:r>
        <w:rPr>
          <w:rFonts w:ascii="Arial" w:hAnsi="Arial" w:cs="Arial"/>
          <w:sz w:val="16"/>
          <w:szCs w:val="16"/>
        </w:rPr>
        <w:t>PbR</w:t>
      </w:r>
      <w:r>
        <w:rPr>
          <w:rFonts w:ascii="Arial" w:hAnsi="Arial" w:cs="Arial"/>
          <w:spacing w:val="-3"/>
          <w:sz w:val="16"/>
          <w:szCs w:val="16"/>
        </w:rPr>
        <w:t>-2010 a 2023</w:t>
      </w:r>
    </w:p>
    <w:p>
      <w:pPr>
        <w:spacing w:before="4"/>
        <w:ind w:left="-567"/>
        <w:rPr>
          <w:rFonts w:ascii="Arial" w:hAnsi="Arial" w:cs="Arial"/>
          <w:sz w:val="16"/>
          <w:szCs w:val="16"/>
        </w:rPr>
      </w:pPr>
    </w:p>
    <w:p>
      <w:pPr>
        <w:pStyle w:val="Textoindependiente"/>
        <w:spacing w:before="4"/>
        <w:ind w:left="-567" w:right="-801"/>
        <w:rPr>
          <w:rFonts w:cs="Arial"/>
          <w:lang w:val="es-ES_tradnl"/>
        </w:rPr>
      </w:pPr>
    </w:p>
    <w:p>
      <w:pPr>
        <w:pStyle w:val="Textoindependiente"/>
        <w:spacing w:before="1" w:line="276" w:lineRule="auto"/>
        <w:ind w:left="-567" w:right="-801"/>
        <w:jc w:val="both"/>
        <w:rPr>
          <w:rFonts w:cs="Arial"/>
        </w:rPr>
      </w:pPr>
    </w:p>
    <w:p>
      <w:pPr>
        <w:pStyle w:val="Textoindependiente"/>
        <w:spacing w:before="1" w:line="276" w:lineRule="auto"/>
        <w:ind w:left="-567" w:right="-801"/>
        <w:jc w:val="both"/>
        <w:rPr>
          <w:rFonts w:cs="Arial"/>
        </w:rPr>
      </w:pPr>
    </w:p>
    <w:p>
      <w:pPr>
        <w:spacing w:line="276" w:lineRule="auto"/>
        <w:ind w:left="-567" w:right="-801"/>
        <w:rPr>
          <w:rFonts w:ascii="Arial" w:hAnsi="Arial" w:cs="Arial"/>
          <w:b/>
        </w:rPr>
      </w:pPr>
      <w:r>
        <w:rPr>
          <w:rFonts w:ascii="Arial" w:hAnsi="Arial" w:cs="Arial"/>
          <w:b/>
        </w:rPr>
        <w:lastRenderedPageBreak/>
        <w:t>Educación Especial</w:t>
      </w:r>
    </w:p>
    <w:p>
      <w:pPr>
        <w:pStyle w:val="Textoindependiente"/>
        <w:spacing w:before="182" w:line="276" w:lineRule="auto"/>
        <w:ind w:left="-567" w:right="-801"/>
        <w:jc w:val="both"/>
        <w:rPr>
          <w:rFonts w:cs="Arial"/>
        </w:rPr>
      </w:pPr>
      <w:r>
        <w:rPr>
          <w:rFonts w:cs="Arial"/>
        </w:rPr>
        <w:t>A</w:t>
      </w:r>
      <w:r>
        <w:rPr>
          <w:rFonts w:cs="Arial"/>
          <w:spacing w:val="-9"/>
        </w:rPr>
        <w:t xml:space="preserve"> </w:t>
      </w:r>
      <w:r>
        <w:rPr>
          <w:rFonts w:cs="Arial"/>
        </w:rPr>
        <w:t>nivel</w:t>
      </w:r>
      <w:r>
        <w:rPr>
          <w:rFonts w:cs="Arial"/>
          <w:spacing w:val="-10"/>
        </w:rPr>
        <w:t xml:space="preserve"> </w:t>
      </w:r>
      <w:r>
        <w:rPr>
          <w:rFonts w:cs="Arial"/>
        </w:rPr>
        <w:t>nacional,</w:t>
      </w:r>
      <w:r>
        <w:rPr>
          <w:rFonts w:cs="Arial"/>
          <w:spacing w:val="-12"/>
        </w:rPr>
        <w:t xml:space="preserve"> </w:t>
      </w:r>
      <w:r>
        <w:rPr>
          <w:rFonts w:cs="Arial"/>
        </w:rPr>
        <w:t>un</w:t>
      </w:r>
      <w:r>
        <w:rPr>
          <w:rFonts w:cs="Arial"/>
          <w:spacing w:val="-11"/>
        </w:rPr>
        <w:t xml:space="preserve"> </w:t>
      </w:r>
      <w:r>
        <w:rPr>
          <w:rFonts w:cs="Arial"/>
        </w:rPr>
        <w:t>46.5</w:t>
      </w:r>
      <w:r>
        <w:rPr>
          <w:rFonts w:cs="Arial"/>
          <w:spacing w:val="-7"/>
        </w:rPr>
        <w:t xml:space="preserve"> </w:t>
      </w:r>
      <w:r>
        <w:rPr>
          <w:rFonts w:cs="Arial"/>
        </w:rPr>
        <w:t>por</w:t>
      </w:r>
      <w:r>
        <w:rPr>
          <w:rFonts w:cs="Arial"/>
          <w:spacing w:val="-10"/>
        </w:rPr>
        <w:t xml:space="preserve"> </w:t>
      </w:r>
      <w:r>
        <w:rPr>
          <w:rFonts w:cs="Arial"/>
        </w:rPr>
        <w:t>ciento</w:t>
      </w:r>
      <w:r>
        <w:rPr>
          <w:rFonts w:cs="Arial"/>
          <w:spacing w:val="-10"/>
        </w:rPr>
        <w:t xml:space="preserve"> </w:t>
      </w:r>
      <w:r>
        <w:rPr>
          <w:rFonts w:cs="Arial"/>
        </w:rPr>
        <w:t>de</w:t>
      </w:r>
      <w:r>
        <w:rPr>
          <w:rFonts w:cs="Arial"/>
          <w:spacing w:val="-8"/>
        </w:rPr>
        <w:t xml:space="preserve"> </w:t>
      </w:r>
      <w:r>
        <w:rPr>
          <w:rFonts w:cs="Arial"/>
        </w:rPr>
        <w:t>la</w:t>
      </w:r>
      <w:r>
        <w:rPr>
          <w:rFonts w:cs="Arial"/>
          <w:spacing w:val="-11"/>
        </w:rPr>
        <w:t xml:space="preserve"> </w:t>
      </w:r>
      <w:r>
        <w:rPr>
          <w:rFonts w:cs="Arial"/>
        </w:rPr>
        <w:t>población</w:t>
      </w:r>
      <w:r>
        <w:rPr>
          <w:rFonts w:cs="Arial"/>
          <w:spacing w:val="-7"/>
        </w:rPr>
        <w:t xml:space="preserve"> </w:t>
      </w:r>
      <w:r>
        <w:rPr>
          <w:rFonts w:cs="Arial"/>
        </w:rPr>
        <w:t>con</w:t>
      </w:r>
      <w:r>
        <w:rPr>
          <w:rFonts w:cs="Arial"/>
          <w:spacing w:val="-11"/>
        </w:rPr>
        <w:t xml:space="preserve"> </w:t>
      </w:r>
      <w:r>
        <w:rPr>
          <w:rFonts w:cs="Arial"/>
        </w:rPr>
        <w:t>discapacidad</w:t>
      </w:r>
      <w:r>
        <w:rPr>
          <w:rFonts w:cs="Arial"/>
          <w:spacing w:val="-11"/>
        </w:rPr>
        <w:t xml:space="preserve"> </w:t>
      </w:r>
      <w:r>
        <w:rPr>
          <w:rFonts w:cs="Arial"/>
        </w:rPr>
        <w:t>de</w:t>
      </w:r>
      <w:r>
        <w:rPr>
          <w:rFonts w:cs="Arial"/>
          <w:spacing w:val="-11"/>
        </w:rPr>
        <w:t xml:space="preserve"> </w:t>
      </w:r>
      <w:r>
        <w:rPr>
          <w:rFonts w:cs="Arial"/>
        </w:rPr>
        <w:t>3</w:t>
      </w:r>
      <w:r>
        <w:rPr>
          <w:rFonts w:cs="Arial"/>
          <w:spacing w:val="-10"/>
        </w:rPr>
        <w:t xml:space="preserve"> </w:t>
      </w:r>
      <w:r>
        <w:rPr>
          <w:rFonts w:cs="Arial"/>
        </w:rPr>
        <w:t>a</w:t>
      </w:r>
      <w:r>
        <w:rPr>
          <w:rFonts w:cs="Arial"/>
          <w:spacing w:val="-11"/>
        </w:rPr>
        <w:t xml:space="preserve"> </w:t>
      </w:r>
      <w:r>
        <w:rPr>
          <w:rFonts w:cs="Arial"/>
        </w:rPr>
        <w:t>29</w:t>
      </w:r>
      <w:r>
        <w:rPr>
          <w:rFonts w:cs="Arial"/>
          <w:spacing w:val="-11"/>
        </w:rPr>
        <w:t xml:space="preserve"> </w:t>
      </w:r>
      <w:r>
        <w:rPr>
          <w:rFonts w:cs="Arial"/>
        </w:rPr>
        <w:t>años</w:t>
      </w:r>
      <w:r>
        <w:rPr>
          <w:rFonts w:cs="Arial"/>
          <w:spacing w:val="-12"/>
        </w:rPr>
        <w:t xml:space="preserve"> </w:t>
      </w:r>
      <w:r>
        <w:rPr>
          <w:rFonts w:cs="Arial"/>
        </w:rPr>
        <w:t>de</w:t>
      </w:r>
      <w:r>
        <w:rPr>
          <w:rFonts w:cs="Arial"/>
          <w:spacing w:val="-10"/>
        </w:rPr>
        <w:t xml:space="preserve"> </w:t>
      </w:r>
      <w:r>
        <w:rPr>
          <w:rFonts w:cs="Arial"/>
        </w:rPr>
        <w:t xml:space="preserve">edad </w:t>
      </w:r>
      <w:r>
        <w:rPr>
          <w:rFonts w:cs="Arial"/>
          <w:spacing w:val="-65"/>
        </w:rPr>
        <w:t xml:space="preserve"> </w:t>
      </w:r>
      <w:r>
        <w:rPr>
          <w:rFonts w:cs="Arial"/>
        </w:rPr>
        <w:t>asiste</w:t>
      </w:r>
      <w:r>
        <w:rPr>
          <w:rFonts w:cs="Arial"/>
          <w:spacing w:val="-10"/>
        </w:rPr>
        <w:t xml:space="preserve"> </w:t>
      </w:r>
      <w:r>
        <w:rPr>
          <w:rFonts w:cs="Arial"/>
        </w:rPr>
        <w:t>a</w:t>
      </w:r>
      <w:r>
        <w:rPr>
          <w:rFonts w:cs="Arial"/>
          <w:spacing w:val="-8"/>
        </w:rPr>
        <w:t xml:space="preserve"> </w:t>
      </w:r>
      <w:r>
        <w:rPr>
          <w:rFonts w:cs="Arial"/>
        </w:rPr>
        <w:t>la</w:t>
      </w:r>
      <w:r>
        <w:rPr>
          <w:rFonts w:cs="Arial"/>
          <w:spacing w:val="-10"/>
        </w:rPr>
        <w:t xml:space="preserve"> </w:t>
      </w:r>
      <w:r>
        <w:rPr>
          <w:rFonts w:cs="Arial"/>
        </w:rPr>
        <w:t>escuela,</w:t>
      </w:r>
      <w:r>
        <w:rPr>
          <w:rFonts w:cs="Arial"/>
          <w:spacing w:val="-10"/>
        </w:rPr>
        <w:t xml:space="preserve"> </w:t>
      </w:r>
      <w:r>
        <w:rPr>
          <w:rFonts w:cs="Arial"/>
        </w:rPr>
        <w:t>contra</w:t>
      </w:r>
      <w:r>
        <w:rPr>
          <w:rFonts w:cs="Arial"/>
          <w:spacing w:val="-10"/>
        </w:rPr>
        <w:t xml:space="preserve"> </w:t>
      </w:r>
      <w:r>
        <w:rPr>
          <w:rFonts w:cs="Arial"/>
        </w:rPr>
        <w:t>un</w:t>
      </w:r>
      <w:r>
        <w:rPr>
          <w:rFonts w:cs="Arial"/>
          <w:spacing w:val="-10"/>
        </w:rPr>
        <w:t xml:space="preserve"> </w:t>
      </w:r>
      <w:r>
        <w:rPr>
          <w:rFonts w:cs="Arial"/>
        </w:rPr>
        <w:t>60.5</w:t>
      </w:r>
      <w:r>
        <w:rPr>
          <w:rFonts w:cs="Arial"/>
          <w:spacing w:val="-10"/>
        </w:rPr>
        <w:t xml:space="preserve"> </w:t>
      </w:r>
      <w:r>
        <w:rPr>
          <w:rFonts w:cs="Arial"/>
        </w:rPr>
        <w:t>por</w:t>
      </w:r>
      <w:r>
        <w:rPr>
          <w:rFonts w:cs="Arial"/>
          <w:spacing w:val="-9"/>
        </w:rPr>
        <w:t xml:space="preserve"> </w:t>
      </w:r>
      <w:r>
        <w:rPr>
          <w:rFonts w:cs="Arial"/>
        </w:rPr>
        <w:t>ciento</w:t>
      </w:r>
      <w:r>
        <w:rPr>
          <w:rFonts w:cs="Arial"/>
          <w:spacing w:val="-12"/>
        </w:rPr>
        <w:t xml:space="preserve"> </w:t>
      </w:r>
      <w:r>
        <w:rPr>
          <w:rFonts w:cs="Arial"/>
        </w:rPr>
        <w:t>de</w:t>
      </w:r>
      <w:r>
        <w:rPr>
          <w:rFonts w:cs="Arial"/>
          <w:spacing w:val="-7"/>
        </w:rPr>
        <w:t xml:space="preserve"> </w:t>
      </w:r>
      <w:r>
        <w:rPr>
          <w:rFonts w:cs="Arial"/>
        </w:rPr>
        <w:t>las</w:t>
      </w:r>
      <w:r>
        <w:rPr>
          <w:rFonts w:cs="Arial"/>
          <w:spacing w:val="-10"/>
        </w:rPr>
        <w:t xml:space="preserve"> </w:t>
      </w:r>
      <w:r>
        <w:rPr>
          <w:rFonts w:cs="Arial"/>
        </w:rPr>
        <w:t>personas</w:t>
      </w:r>
      <w:r>
        <w:rPr>
          <w:rFonts w:cs="Arial"/>
          <w:spacing w:val="-8"/>
        </w:rPr>
        <w:t xml:space="preserve"> </w:t>
      </w:r>
      <w:r>
        <w:rPr>
          <w:rFonts w:cs="Arial"/>
        </w:rPr>
        <w:t>sin</w:t>
      </w:r>
      <w:r>
        <w:rPr>
          <w:rFonts w:cs="Arial"/>
          <w:spacing w:val="-10"/>
        </w:rPr>
        <w:t xml:space="preserve"> </w:t>
      </w:r>
      <w:r>
        <w:rPr>
          <w:rFonts w:cs="Arial"/>
        </w:rPr>
        <w:t>discapacidad.</w:t>
      </w:r>
      <w:r>
        <w:rPr>
          <w:rFonts w:cs="Arial"/>
          <w:spacing w:val="-10"/>
        </w:rPr>
        <w:t xml:space="preserve"> </w:t>
      </w:r>
      <w:r>
        <w:rPr>
          <w:rFonts w:cs="Arial"/>
        </w:rPr>
        <w:t>Al</w:t>
      </w:r>
      <w:r>
        <w:rPr>
          <w:rFonts w:cs="Arial"/>
          <w:spacing w:val="-11"/>
        </w:rPr>
        <w:t xml:space="preserve"> </w:t>
      </w:r>
      <w:r>
        <w:rPr>
          <w:rFonts w:cs="Arial"/>
        </w:rPr>
        <w:t xml:space="preserve">trasladarlo </w:t>
      </w:r>
      <w:r>
        <w:rPr>
          <w:rFonts w:cs="Arial"/>
          <w:spacing w:val="-64"/>
        </w:rPr>
        <w:t xml:space="preserve"> </w:t>
      </w:r>
      <w:r>
        <w:rPr>
          <w:rFonts w:cs="Arial"/>
        </w:rPr>
        <w:t>a los datos demográficos del estado, obtenemos un total de 213 mil 395 personas con</w:t>
      </w:r>
      <w:r>
        <w:rPr>
          <w:rFonts w:cs="Arial"/>
          <w:spacing w:val="1"/>
        </w:rPr>
        <w:t xml:space="preserve"> </w:t>
      </w:r>
      <w:r>
        <w:rPr>
          <w:rFonts w:cs="Arial"/>
        </w:rPr>
        <w:t>discapacidad. En este sentido, es relevante conocer el nivel de asistencia escolar de las</w:t>
      </w:r>
      <w:r>
        <w:rPr>
          <w:rFonts w:cs="Arial"/>
          <w:spacing w:val="1"/>
        </w:rPr>
        <w:t xml:space="preserve"> </w:t>
      </w:r>
      <w:r>
        <w:rPr>
          <w:rFonts w:cs="Arial"/>
        </w:rPr>
        <w:t>personas con discapacidad, el tipo de discapacidad y nivel de escolaridad, con el afán de</w:t>
      </w:r>
      <w:r>
        <w:rPr>
          <w:rFonts w:cs="Arial"/>
          <w:spacing w:val="1"/>
        </w:rPr>
        <w:t xml:space="preserve"> </w:t>
      </w:r>
      <w:r>
        <w:rPr>
          <w:rFonts w:cs="Arial"/>
        </w:rPr>
        <w:t>generar mejores condiciones de acceso a la educación para lograr la equidad en las</w:t>
      </w:r>
      <w:r>
        <w:rPr>
          <w:rFonts w:cs="Arial"/>
          <w:spacing w:val="1"/>
        </w:rPr>
        <w:t xml:space="preserve"> </w:t>
      </w:r>
      <w:r>
        <w:rPr>
          <w:rFonts w:cs="Arial"/>
        </w:rPr>
        <w:t>oportunidades</w:t>
      </w:r>
      <w:r>
        <w:rPr>
          <w:rFonts w:cs="Arial"/>
          <w:spacing w:val="-3"/>
        </w:rPr>
        <w:t xml:space="preserve"> </w:t>
      </w:r>
      <w:r>
        <w:rPr>
          <w:rFonts w:cs="Arial"/>
        </w:rPr>
        <w:t>de los</w:t>
      </w:r>
      <w:r>
        <w:rPr>
          <w:rFonts w:cs="Arial"/>
          <w:spacing w:val="-3"/>
        </w:rPr>
        <w:t xml:space="preserve"> </w:t>
      </w:r>
      <w:r>
        <w:rPr>
          <w:rFonts w:cs="Arial"/>
        </w:rPr>
        <w:t>chihuahuenses.</w:t>
      </w:r>
    </w:p>
    <w:p>
      <w:pPr>
        <w:pStyle w:val="Textoindependiente"/>
        <w:spacing w:before="3"/>
        <w:ind w:left="-567" w:right="-801"/>
        <w:rPr>
          <w:rFonts w:cs="Arial"/>
        </w:rPr>
      </w:pPr>
    </w:p>
    <w:p>
      <w:pPr>
        <w:spacing w:after="3"/>
        <w:ind w:left="-567" w:right="-801"/>
        <w:jc w:val="center"/>
        <w:rPr>
          <w:rFonts w:ascii="Arial" w:hAnsi="Arial" w:cs="Arial"/>
        </w:rPr>
      </w:pPr>
      <w:r>
        <w:rPr>
          <w:rFonts w:ascii="Arial" w:hAnsi="Arial" w:cs="Arial"/>
        </w:rPr>
        <w:t>Cuadro</w:t>
      </w:r>
      <w:r>
        <w:rPr>
          <w:rFonts w:ascii="Arial" w:hAnsi="Arial" w:cs="Arial"/>
          <w:spacing w:val="-3"/>
        </w:rPr>
        <w:t xml:space="preserve"> </w:t>
      </w:r>
      <w:r>
        <w:rPr>
          <w:rFonts w:ascii="Arial" w:hAnsi="Arial" w:cs="Arial"/>
        </w:rPr>
        <w:t>7. Cobertura</w:t>
      </w:r>
      <w:r>
        <w:rPr>
          <w:rFonts w:ascii="Arial" w:hAnsi="Arial" w:cs="Arial"/>
          <w:spacing w:val="-3"/>
        </w:rPr>
        <w:t xml:space="preserve"> </w:t>
      </w:r>
      <w:r>
        <w:rPr>
          <w:rFonts w:ascii="Arial" w:hAnsi="Arial" w:cs="Arial"/>
        </w:rPr>
        <w:t>en</w:t>
      </w:r>
      <w:r>
        <w:rPr>
          <w:rFonts w:ascii="Arial" w:hAnsi="Arial" w:cs="Arial"/>
          <w:spacing w:val="-3"/>
        </w:rPr>
        <w:t xml:space="preserve"> </w:t>
      </w:r>
      <w:r>
        <w:rPr>
          <w:rFonts w:ascii="Arial" w:hAnsi="Arial" w:cs="Arial"/>
        </w:rPr>
        <w:t>Educación</w:t>
      </w:r>
      <w:r>
        <w:rPr>
          <w:rFonts w:ascii="Arial" w:hAnsi="Arial" w:cs="Arial"/>
          <w:spacing w:val="-3"/>
        </w:rPr>
        <w:t xml:space="preserve"> </w:t>
      </w:r>
      <w:r>
        <w:rPr>
          <w:rFonts w:ascii="Arial" w:hAnsi="Arial" w:cs="Arial"/>
        </w:rPr>
        <w:t>Especial</w:t>
      </w:r>
    </w:p>
    <w:tbl>
      <w:tblPr>
        <w:tblW w:w="5391" w:type="dxa"/>
        <w:jc w:val="center"/>
        <w:tblCellMar>
          <w:left w:w="70" w:type="dxa"/>
          <w:right w:w="70" w:type="dxa"/>
        </w:tblCellMar>
        <w:tblLook w:val="04A0" w:firstRow="1" w:lastRow="0" w:firstColumn="1" w:lastColumn="0" w:noHBand="0" w:noVBand="1"/>
      </w:tblPr>
      <w:tblGrid>
        <w:gridCol w:w="1739"/>
        <w:gridCol w:w="3652"/>
      </w:tblGrid>
      <w:tr>
        <w:trPr>
          <w:trHeight w:val="300"/>
          <w:jc w:val="center"/>
        </w:trPr>
        <w:tc>
          <w:tcPr>
            <w:tcW w:w="5391" w:type="dxa"/>
            <w:gridSpan w:val="2"/>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EDUCACIÓN ESPECIAL</w:t>
            </w:r>
          </w:p>
        </w:tc>
      </w:tr>
      <w:tr>
        <w:trPr>
          <w:trHeight w:val="690"/>
          <w:jc w:val="center"/>
        </w:trPr>
        <w:tc>
          <w:tcPr>
            <w:tcW w:w="1739" w:type="dxa"/>
            <w:tcBorders>
              <w:top w:val="nil"/>
              <w:left w:val="nil"/>
              <w:bottom w:val="single" w:sz="8" w:space="0" w:color="000000"/>
              <w:right w:val="nil"/>
            </w:tcBorders>
            <w:shd w:val="clear" w:color="000000"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ESCOLAR</w:t>
            </w:r>
          </w:p>
        </w:tc>
        <w:tc>
          <w:tcPr>
            <w:tcW w:w="3652" w:type="dxa"/>
            <w:tcBorders>
              <w:top w:val="nil"/>
              <w:left w:val="nil"/>
              <w:bottom w:val="single" w:sz="8" w:space="0" w:color="auto"/>
              <w:right w:val="nil"/>
            </w:tcBorders>
            <w:shd w:val="clear" w:color="000000" w:fill="E8D1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MENORES CON MATRICULA ESCUELAS FEDERAL TRANSFERIDO</w:t>
            </w:r>
          </w:p>
        </w:tc>
      </w:tr>
      <w:tr>
        <w:trPr>
          <w:trHeight w:val="300"/>
          <w:jc w:val="center"/>
        </w:trPr>
        <w:tc>
          <w:tcPr>
            <w:tcW w:w="1739" w:type="dxa"/>
            <w:tcBorders>
              <w:top w:val="nil"/>
              <w:left w:val="nil"/>
              <w:bottom w:val="nil"/>
              <w:right w:val="nil"/>
            </w:tcBorders>
            <w:shd w:val="clear" w:color="000000" w:fill="E8D1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2011-2012</w:t>
            </w:r>
          </w:p>
        </w:tc>
        <w:tc>
          <w:tcPr>
            <w:tcW w:w="3652" w:type="dxa"/>
            <w:tcBorders>
              <w:top w:val="nil"/>
              <w:left w:val="nil"/>
              <w:bottom w:val="nil"/>
              <w:right w:val="nil"/>
            </w:tcBorders>
            <w:shd w:val="clear" w:color="000000" w:fill="E8D1FF"/>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8,491</w:t>
            </w:r>
          </w:p>
        </w:tc>
      </w:tr>
      <w:tr>
        <w:trPr>
          <w:trHeight w:val="300"/>
          <w:jc w:val="center"/>
        </w:trPr>
        <w:tc>
          <w:tcPr>
            <w:tcW w:w="1739" w:type="dxa"/>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2015-2016</w:t>
            </w:r>
          </w:p>
        </w:tc>
        <w:tc>
          <w:tcPr>
            <w:tcW w:w="365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11,234</w:t>
            </w:r>
          </w:p>
        </w:tc>
      </w:tr>
      <w:tr>
        <w:trPr>
          <w:trHeight w:val="300"/>
          <w:jc w:val="center"/>
        </w:trPr>
        <w:tc>
          <w:tcPr>
            <w:tcW w:w="1739" w:type="dxa"/>
            <w:tcBorders>
              <w:top w:val="nil"/>
              <w:left w:val="nil"/>
              <w:bottom w:val="nil"/>
              <w:right w:val="nil"/>
            </w:tcBorders>
            <w:shd w:val="clear" w:color="000000" w:fill="E8D1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2019-2020</w:t>
            </w:r>
          </w:p>
        </w:tc>
        <w:tc>
          <w:tcPr>
            <w:tcW w:w="3652" w:type="dxa"/>
            <w:tcBorders>
              <w:top w:val="nil"/>
              <w:left w:val="nil"/>
              <w:bottom w:val="nil"/>
              <w:right w:val="nil"/>
            </w:tcBorders>
            <w:shd w:val="clear" w:color="000000" w:fill="E8D1FF"/>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12,977</w:t>
            </w:r>
          </w:p>
        </w:tc>
      </w:tr>
      <w:tr>
        <w:trPr>
          <w:trHeight w:val="300"/>
          <w:jc w:val="center"/>
        </w:trPr>
        <w:tc>
          <w:tcPr>
            <w:tcW w:w="1739" w:type="dxa"/>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2020-2021</w:t>
            </w:r>
          </w:p>
        </w:tc>
        <w:tc>
          <w:tcPr>
            <w:tcW w:w="365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12,309</w:t>
            </w:r>
          </w:p>
        </w:tc>
      </w:tr>
      <w:tr>
        <w:trPr>
          <w:trHeight w:val="300"/>
          <w:jc w:val="center"/>
        </w:trPr>
        <w:tc>
          <w:tcPr>
            <w:tcW w:w="1739" w:type="dxa"/>
            <w:tcBorders>
              <w:top w:val="nil"/>
              <w:left w:val="nil"/>
              <w:bottom w:val="nil"/>
              <w:right w:val="nil"/>
            </w:tcBorders>
            <w:shd w:val="clear" w:color="000000" w:fill="E8D1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2021-2022</w:t>
            </w:r>
          </w:p>
        </w:tc>
        <w:tc>
          <w:tcPr>
            <w:tcW w:w="3652" w:type="dxa"/>
            <w:tcBorders>
              <w:top w:val="nil"/>
              <w:left w:val="nil"/>
              <w:bottom w:val="nil"/>
              <w:right w:val="nil"/>
            </w:tcBorders>
            <w:shd w:val="clear" w:color="000000" w:fill="E8D1FF"/>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12,869</w:t>
            </w:r>
          </w:p>
        </w:tc>
      </w:tr>
      <w:tr>
        <w:trPr>
          <w:trHeight w:val="300"/>
          <w:jc w:val="center"/>
        </w:trPr>
        <w:tc>
          <w:tcPr>
            <w:tcW w:w="1739" w:type="dxa"/>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2022-2023</w:t>
            </w:r>
          </w:p>
        </w:tc>
        <w:tc>
          <w:tcPr>
            <w:tcW w:w="365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14,508</w:t>
            </w:r>
          </w:p>
        </w:tc>
      </w:tr>
    </w:tbl>
    <w:p>
      <w:pPr>
        <w:spacing w:before="83"/>
        <w:ind w:left="-567" w:right="-801"/>
        <w:rPr>
          <w:rFonts w:ascii="Arial" w:hAnsi="Arial" w:cs="Arial"/>
          <w:sz w:val="16"/>
        </w:rPr>
      </w:pPr>
      <w:r>
        <w:rPr>
          <w:rFonts w:ascii="Arial" w:hAnsi="Arial" w:cs="Arial"/>
          <w:sz w:val="16"/>
        </w:rPr>
        <w:t xml:space="preserve">                                                     Fuente:</w:t>
      </w:r>
      <w:r>
        <w:rPr>
          <w:rFonts w:ascii="Arial" w:hAnsi="Arial" w:cs="Arial"/>
          <w:spacing w:val="-3"/>
          <w:sz w:val="16"/>
        </w:rPr>
        <w:t xml:space="preserve"> </w:t>
      </w:r>
      <w:r>
        <w:rPr>
          <w:rFonts w:ascii="Arial" w:hAnsi="Arial" w:cs="Arial"/>
          <w:sz w:val="16"/>
        </w:rPr>
        <w:t>SEECH,</w:t>
      </w:r>
      <w:r>
        <w:rPr>
          <w:rFonts w:ascii="Arial" w:hAnsi="Arial" w:cs="Arial"/>
          <w:spacing w:val="-2"/>
          <w:sz w:val="16"/>
        </w:rPr>
        <w:t xml:space="preserve"> </w:t>
      </w:r>
      <w:r>
        <w:rPr>
          <w:rFonts w:ascii="Arial" w:hAnsi="Arial" w:cs="Arial"/>
          <w:sz w:val="16"/>
        </w:rPr>
        <w:t>estadística</w:t>
      </w:r>
      <w:r>
        <w:rPr>
          <w:rFonts w:ascii="Arial" w:hAnsi="Arial" w:cs="Arial"/>
          <w:spacing w:val="-3"/>
          <w:sz w:val="16"/>
        </w:rPr>
        <w:t xml:space="preserve"> </w:t>
      </w:r>
      <w:r>
        <w:rPr>
          <w:rFonts w:ascii="Arial" w:hAnsi="Arial" w:cs="Arial"/>
          <w:sz w:val="16"/>
        </w:rPr>
        <w:t>para</w:t>
      </w:r>
      <w:r>
        <w:rPr>
          <w:rFonts w:ascii="Arial" w:hAnsi="Arial" w:cs="Arial"/>
          <w:spacing w:val="-2"/>
          <w:sz w:val="16"/>
        </w:rPr>
        <w:t xml:space="preserve"> </w:t>
      </w:r>
      <w:proofErr w:type="spellStart"/>
      <w:r>
        <w:rPr>
          <w:rFonts w:ascii="Arial" w:hAnsi="Arial" w:cs="Arial"/>
          <w:sz w:val="16"/>
        </w:rPr>
        <w:t>PbR</w:t>
      </w:r>
      <w:proofErr w:type="spellEnd"/>
      <w:r>
        <w:rPr>
          <w:rFonts w:ascii="Arial" w:hAnsi="Arial" w:cs="Arial"/>
          <w:spacing w:val="-2"/>
          <w:sz w:val="16"/>
        </w:rPr>
        <w:t xml:space="preserve"> </w:t>
      </w:r>
      <w:r>
        <w:rPr>
          <w:rFonts w:ascii="Arial" w:hAnsi="Arial" w:cs="Arial"/>
          <w:sz w:val="16"/>
        </w:rPr>
        <w:t>2023</w:t>
      </w:r>
    </w:p>
    <w:p>
      <w:pPr>
        <w:pStyle w:val="Textoindependiente"/>
        <w:spacing w:before="71" w:line="276" w:lineRule="auto"/>
        <w:ind w:left="-567" w:right="-801"/>
        <w:jc w:val="both"/>
        <w:rPr>
          <w:rFonts w:cs="Arial"/>
        </w:rPr>
      </w:pPr>
    </w:p>
    <w:p>
      <w:pPr>
        <w:pStyle w:val="Textoindependiente"/>
        <w:spacing w:before="71" w:line="276" w:lineRule="auto"/>
        <w:ind w:left="-567" w:right="-801"/>
        <w:jc w:val="both"/>
        <w:rPr>
          <w:rFonts w:cs="Arial"/>
        </w:rPr>
      </w:pPr>
      <w:r>
        <w:rPr>
          <w:rFonts w:cs="Arial"/>
        </w:rPr>
        <w:t>En educación especial se tiene la misma problemática que presenta la modalidad Indígena</w:t>
      </w:r>
      <w:r>
        <w:rPr>
          <w:rFonts w:cs="Arial"/>
          <w:spacing w:val="1"/>
        </w:rPr>
        <w:t xml:space="preserve"> </w:t>
      </w:r>
      <w:r>
        <w:rPr>
          <w:rFonts w:cs="Arial"/>
        </w:rPr>
        <w:t>en cuanto a la disponibilidad de la información referente a la población desagregada por</w:t>
      </w:r>
      <w:r>
        <w:rPr>
          <w:rFonts w:cs="Arial"/>
          <w:spacing w:val="1"/>
        </w:rPr>
        <w:t xml:space="preserve"> </w:t>
      </w:r>
      <w:r>
        <w:rPr>
          <w:rFonts w:cs="Arial"/>
        </w:rPr>
        <w:t>rangos etarios, por lo que dificulta el poder hacer una estimación de los niños/as que se</w:t>
      </w:r>
      <w:r>
        <w:rPr>
          <w:rFonts w:cs="Arial"/>
          <w:spacing w:val="1"/>
        </w:rPr>
        <w:t xml:space="preserve"> </w:t>
      </w:r>
      <w:r>
        <w:rPr>
          <w:rFonts w:cs="Arial"/>
        </w:rPr>
        <w:t>encuentran</w:t>
      </w:r>
      <w:r>
        <w:rPr>
          <w:rFonts w:cs="Arial"/>
          <w:spacing w:val="-1"/>
        </w:rPr>
        <w:t xml:space="preserve"> </w:t>
      </w:r>
      <w:r>
        <w:rPr>
          <w:rFonts w:cs="Arial"/>
        </w:rPr>
        <w:t>sin</w:t>
      </w:r>
      <w:r>
        <w:rPr>
          <w:rFonts w:cs="Arial"/>
          <w:spacing w:val="-2"/>
        </w:rPr>
        <w:t xml:space="preserve"> </w:t>
      </w:r>
      <w:r>
        <w:rPr>
          <w:rFonts w:cs="Arial"/>
        </w:rPr>
        <w:t>el servicio educativo.</w:t>
      </w:r>
    </w:p>
    <w:p>
      <w:pPr>
        <w:pStyle w:val="Textoindependiente"/>
        <w:spacing w:before="160" w:line="276" w:lineRule="auto"/>
        <w:ind w:left="-567" w:right="-801"/>
        <w:jc w:val="both"/>
        <w:rPr>
          <w:rFonts w:cs="Arial"/>
        </w:rPr>
      </w:pPr>
      <w:r>
        <w:rPr>
          <w:rFonts w:cs="Arial"/>
        </w:rPr>
        <w:t>Como</w:t>
      </w:r>
      <w:r>
        <w:rPr>
          <w:rFonts w:cs="Arial"/>
          <w:spacing w:val="-11"/>
        </w:rPr>
        <w:t xml:space="preserve"> </w:t>
      </w:r>
      <w:r>
        <w:rPr>
          <w:rFonts w:cs="Arial"/>
        </w:rPr>
        <w:t>se</w:t>
      </w:r>
      <w:r>
        <w:rPr>
          <w:rFonts w:cs="Arial"/>
          <w:spacing w:val="-11"/>
        </w:rPr>
        <w:t xml:space="preserve"> </w:t>
      </w:r>
      <w:r>
        <w:rPr>
          <w:rFonts w:cs="Arial"/>
        </w:rPr>
        <w:t>puede</w:t>
      </w:r>
      <w:r>
        <w:rPr>
          <w:rFonts w:cs="Arial"/>
          <w:spacing w:val="-11"/>
        </w:rPr>
        <w:t xml:space="preserve"> </w:t>
      </w:r>
      <w:r>
        <w:rPr>
          <w:rFonts w:cs="Arial"/>
        </w:rPr>
        <w:t>observar</w:t>
      </w:r>
      <w:r>
        <w:rPr>
          <w:rFonts w:cs="Arial"/>
          <w:spacing w:val="-11"/>
        </w:rPr>
        <w:t xml:space="preserve"> </w:t>
      </w:r>
      <w:r>
        <w:rPr>
          <w:rFonts w:cs="Arial"/>
        </w:rPr>
        <w:t>en</w:t>
      </w:r>
      <w:r>
        <w:rPr>
          <w:rFonts w:cs="Arial"/>
          <w:spacing w:val="-11"/>
        </w:rPr>
        <w:t xml:space="preserve"> </w:t>
      </w:r>
      <w:r>
        <w:rPr>
          <w:rFonts w:cs="Arial"/>
        </w:rPr>
        <w:t>el</w:t>
      </w:r>
      <w:r>
        <w:rPr>
          <w:rFonts w:cs="Arial"/>
          <w:spacing w:val="-12"/>
        </w:rPr>
        <w:t xml:space="preserve"> </w:t>
      </w:r>
      <w:r>
        <w:rPr>
          <w:rFonts w:cs="Arial"/>
        </w:rPr>
        <w:t>cuadro</w:t>
      </w:r>
      <w:r>
        <w:rPr>
          <w:rFonts w:cs="Arial"/>
          <w:spacing w:val="-11"/>
        </w:rPr>
        <w:t xml:space="preserve"> </w:t>
      </w:r>
      <w:r>
        <w:rPr>
          <w:rFonts w:cs="Arial"/>
        </w:rPr>
        <w:t>anterior</w:t>
      </w:r>
      <w:r>
        <w:rPr>
          <w:rFonts w:cs="Arial"/>
          <w:spacing w:val="-14"/>
        </w:rPr>
        <w:t xml:space="preserve"> </w:t>
      </w:r>
      <w:r>
        <w:rPr>
          <w:rFonts w:cs="Arial"/>
        </w:rPr>
        <w:t>la</w:t>
      </w:r>
      <w:r>
        <w:rPr>
          <w:rFonts w:cs="Arial"/>
          <w:spacing w:val="-11"/>
        </w:rPr>
        <w:t xml:space="preserve"> </w:t>
      </w:r>
      <w:r>
        <w:rPr>
          <w:rFonts w:cs="Arial"/>
        </w:rPr>
        <w:t>matrícula</w:t>
      </w:r>
      <w:r>
        <w:rPr>
          <w:rFonts w:cs="Arial"/>
          <w:spacing w:val="-11"/>
        </w:rPr>
        <w:t xml:space="preserve"> </w:t>
      </w:r>
      <w:r>
        <w:rPr>
          <w:rFonts w:cs="Arial"/>
        </w:rPr>
        <w:t>se</w:t>
      </w:r>
      <w:r>
        <w:rPr>
          <w:rFonts w:cs="Arial"/>
          <w:spacing w:val="-11"/>
        </w:rPr>
        <w:t xml:space="preserve"> </w:t>
      </w:r>
      <w:r>
        <w:rPr>
          <w:rFonts w:cs="Arial"/>
        </w:rPr>
        <w:t>incrementó</w:t>
      </w:r>
      <w:r>
        <w:rPr>
          <w:rFonts w:cs="Arial"/>
          <w:spacing w:val="-11"/>
        </w:rPr>
        <w:t xml:space="preserve"> </w:t>
      </w:r>
      <w:r>
        <w:rPr>
          <w:rFonts w:cs="Arial"/>
        </w:rPr>
        <w:t>del 2015 al 2020</w:t>
      </w:r>
      <w:r>
        <w:rPr>
          <w:rFonts w:cs="Arial"/>
          <w:spacing w:val="-17"/>
        </w:rPr>
        <w:t xml:space="preserve"> </w:t>
      </w:r>
      <w:r>
        <w:rPr>
          <w:rFonts w:cs="Arial"/>
          <w:spacing w:val="-1"/>
        </w:rPr>
        <w:t>un</w:t>
      </w:r>
      <w:r>
        <w:rPr>
          <w:rFonts w:cs="Arial"/>
          <w:spacing w:val="-18"/>
        </w:rPr>
        <w:t xml:space="preserve"> </w:t>
      </w:r>
      <w:r>
        <w:rPr>
          <w:rFonts w:cs="Arial"/>
          <w:spacing w:val="-1"/>
        </w:rPr>
        <w:t>15.5</w:t>
      </w:r>
      <w:r>
        <w:rPr>
          <w:rFonts w:cs="Arial"/>
          <w:spacing w:val="-16"/>
        </w:rPr>
        <w:t xml:space="preserve"> </w:t>
      </w:r>
      <w:r>
        <w:rPr>
          <w:rFonts w:cs="Arial"/>
          <w:spacing w:val="-1"/>
        </w:rPr>
        <w:t>%,</w:t>
      </w:r>
      <w:r>
        <w:rPr>
          <w:rFonts w:cs="Arial"/>
          <w:spacing w:val="-12"/>
        </w:rPr>
        <w:t xml:space="preserve"> </w:t>
      </w:r>
      <w:r>
        <w:rPr>
          <w:rFonts w:cs="Arial"/>
        </w:rPr>
        <w:t>pero</w:t>
      </w:r>
      <w:r>
        <w:rPr>
          <w:rFonts w:cs="Arial"/>
          <w:spacing w:val="-19"/>
        </w:rPr>
        <w:t xml:space="preserve"> </w:t>
      </w:r>
      <w:r>
        <w:rPr>
          <w:rFonts w:cs="Arial"/>
        </w:rPr>
        <w:t>a</w:t>
      </w:r>
      <w:r>
        <w:rPr>
          <w:rFonts w:cs="Arial"/>
          <w:spacing w:val="-16"/>
        </w:rPr>
        <w:t xml:space="preserve"> </w:t>
      </w:r>
      <w:r>
        <w:rPr>
          <w:rFonts w:cs="Arial"/>
        </w:rPr>
        <w:t>raíz</w:t>
      </w:r>
      <w:r>
        <w:rPr>
          <w:rFonts w:cs="Arial"/>
          <w:spacing w:val="-19"/>
        </w:rPr>
        <w:t xml:space="preserve"> </w:t>
      </w:r>
      <w:r>
        <w:rPr>
          <w:rFonts w:cs="Arial"/>
        </w:rPr>
        <w:t>de</w:t>
      </w:r>
      <w:r>
        <w:rPr>
          <w:rFonts w:cs="Arial"/>
          <w:spacing w:val="-16"/>
        </w:rPr>
        <w:t xml:space="preserve"> </w:t>
      </w:r>
      <w:r>
        <w:rPr>
          <w:rFonts w:cs="Arial"/>
        </w:rPr>
        <w:t>la</w:t>
      </w:r>
      <w:r>
        <w:rPr>
          <w:rFonts w:cs="Arial"/>
          <w:spacing w:val="-16"/>
        </w:rPr>
        <w:t xml:space="preserve"> </w:t>
      </w:r>
      <w:r>
        <w:rPr>
          <w:rFonts w:cs="Arial"/>
        </w:rPr>
        <w:t>pandemia</w:t>
      </w:r>
      <w:r>
        <w:rPr>
          <w:rFonts w:cs="Arial"/>
          <w:spacing w:val="-19"/>
        </w:rPr>
        <w:t xml:space="preserve"> </w:t>
      </w:r>
      <w:r>
        <w:rPr>
          <w:rFonts w:cs="Arial"/>
        </w:rPr>
        <w:t>por</w:t>
      </w:r>
      <w:r>
        <w:rPr>
          <w:rFonts w:cs="Arial"/>
          <w:spacing w:val="-17"/>
        </w:rPr>
        <w:t xml:space="preserve"> </w:t>
      </w:r>
      <w:r>
        <w:rPr>
          <w:rFonts w:cs="Arial"/>
        </w:rPr>
        <w:t>el</w:t>
      </w:r>
      <w:r>
        <w:rPr>
          <w:rFonts w:cs="Arial"/>
          <w:spacing w:val="-17"/>
        </w:rPr>
        <w:t xml:space="preserve"> </w:t>
      </w:r>
      <w:r>
        <w:rPr>
          <w:rFonts w:cs="Arial"/>
        </w:rPr>
        <w:t>COVID-19</w:t>
      </w:r>
      <w:r>
        <w:rPr>
          <w:rFonts w:cs="Arial"/>
          <w:spacing w:val="35"/>
        </w:rPr>
        <w:t xml:space="preserve"> </w:t>
      </w:r>
      <w:r>
        <w:rPr>
          <w:rFonts w:cs="Arial"/>
        </w:rPr>
        <w:t>descendió</w:t>
      </w:r>
      <w:r>
        <w:rPr>
          <w:rFonts w:cs="Arial"/>
          <w:spacing w:val="-16"/>
        </w:rPr>
        <w:t xml:space="preserve"> </w:t>
      </w:r>
      <w:r>
        <w:rPr>
          <w:rFonts w:cs="Arial"/>
        </w:rPr>
        <w:t>un</w:t>
      </w:r>
      <w:r>
        <w:rPr>
          <w:rFonts w:cs="Arial"/>
          <w:spacing w:val="-18"/>
        </w:rPr>
        <w:t xml:space="preserve"> </w:t>
      </w:r>
      <w:r>
        <w:rPr>
          <w:rFonts w:cs="Arial"/>
        </w:rPr>
        <w:t xml:space="preserve">5.15%, la que para el ciclo 2021-2022 se recuperó un 4.5% </w:t>
      </w:r>
      <w:r>
        <w:rPr>
          <w:rFonts w:eastAsiaTheme="minorHAnsi" w:cs="Arial"/>
          <w:lang w:val="es-ES_tradnl"/>
        </w:rPr>
        <w:t>y para el ciclo 2022-2023 se incrementó en 12.7%.</w:t>
      </w:r>
    </w:p>
    <w:p>
      <w:pPr>
        <w:pStyle w:val="Textoindependiente"/>
        <w:spacing w:before="163" w:line="276" w:lineRule="auto"/>
        <w:ind w:left="-567" w:right="-801"/>
        <w:jc w:val="both"/>
        <w:rPr>
          <w:rFonts w:cs="Arial"/>
        </w:rPr>
      </w:pPr>
      <w:r>
        <w:rPr>
          <w:rFonts w:cs="Arial"/>
        </w:rPr>
        <w:t>Por otro lado, para asegurar que la oferta de servicios educativos sea suficiente para</w:t>
      </w:r>
      <w:r>
        <w:rPr>
          <w:rFonts w:cs="Arial"/>
          <w:spacing w:val="1"/>
        </w:rPr>
        <w:t xml:space="preserve"> </w:t>
      </w:r>
      <w:r>
        <w:rPr>
          <w:rFonts w:cs="Arial"/>
        </w:rPr>
        <w:t>garantizar</w:t>
      </w:r>
      <w:r>
        <w:rPr>
          <w:rFonts w:cs="Arial"/>
          <w:spacing w:val="-6"/>
        </w:rPr>
        <w:t xml:space="preserve"> </w:t>
      </w:r>
      <w:r>
        <w:rPr>
          <w:rFonts w:cs="Arial"/>
        </w:rPr>
        <w:t>los</w:t>
      </w:r>
      <w:r>
        <w:rPr>
          <w:rFonts w:cs="Arial"/>
          <w:spacing w:val="-4"/>
        </w:rPr>
        <w:t xml:space="preserve"> </w:t>
      </w:r>
      <w:r>
        <w:rPr>
          <w:rFonts w:cs="Arial"/>
        </w:rPr>
        <w:t>niveles</w:t>
      </w:r>
      <w:r>
        <w:rPr>
          <w:rFonts w:cs="Arial"/>
          <w:spacing w:val="-4"/>
        </w:rPr>
        <w:t xml:space="preserve"> </w:t>
      </w:r>
      <w:r>
        <w:rPr>
          <w:rFonts w:cs="Arial"/>
        </w:rPr>
        <w:t>educativos</w:t>
      </w:r>
      <w:r>
        <w:rPr>
          <w:rFonts w:cs="Arial"/>
          <w:spacing w:val="-4"/>
        </w:rPr>
        <w:t xml:space="preserve"> </w:t>
      </w:r>
      <w:r>
        <w:rPr>
          <w:rFonts w:cs="Arial"/>
        </w:rPr>
        <w:t>obligatorios</w:t>
      </w:r>
      <w:r>
        <w:rPr>
          <w:rFonts w:cs="Arial"/>
          <w:spacing w:val="-8"/>
        </w:rPr>
        <w:t xml:space="preserve"> </w:t>
      </w:r>
      <w:r>
        <w:rPr>
          <w:rFonts w:cs="Arial"/>
        </w:rPr>
        <w:t>se</w:t>
      </w:r>
      <w:r>
        <w:rPr>
          <w:rFonts w:cs="Arial"/>
          <w:spacing w:val="-4"/>
        </w:rPr>
        <w:t xml:space="preserve"> </w:t>
      </w:r>
      <w:r>
        <w:rPr>
          <w:rFonts w:cs="Arial"/>
        </w:rPr>
        <w:t>requiere</w:t>
      </w:r>
      <w:r>
        <w:rPr>
          <w:rFonts w:cs="Arial"/>
          <w:spacing w:val="-4"/>
        </w:rPr>
        <w:t xml:space="preserve"> </w:t>
      </w:r>
      <w:r>
        <w:rPr>
          <w:rFonts w:cs="Arial"/>
        </w:rPr>
        <w:t>un</w:t>
      </w:r>
      <w:r>
        <w:rPr>
          <w:rFonts w:cs="Arial"/>
          <w:spacing w:val="-6"/>
        </w:rPr>
        <w:t xml:space="preserve"> </w:t>
      </w:r>
      <w:r>
        <w:rPr>
          <w:rFonts w:cs="Arial"/>
        </w:rPr>
        <w:t>marco</w:t>
      </w:r>
      <w:r>
        <w:rPr>
          <w:rFonts w:cs="Arial"/>
          <w:spacing w:val="-4"/>
        </w:rPr>
        <w:t xml:space="preserve"> </w:t>
      </w:r>
      <w:r>
        <w:rPr>
          <w:rFonts w:cs="Arial"/>
        </w:rPr>
        <w:t>institucional</w:t>
      </w:r>
      <w:r>
        <w:rPr>
          <w:rFonts w:cs="Arial"/>
          <w:spacing w:val="-6"/>
        </w:rPr>
        <w:t xml:space="preserve"> </w:t>
      </w:r>
      <w:r>
        <w:rPr>
          <w:rFonts w:cs="Arial"/>
        </w:rPr>
        <w:t>robusto</w:t>
      </w:r>
      <w:r>
        <w:rPr>
          <w:rFonts w:cs="Arial"/>
          <w:spacing w:val="-3"/>
        </w:rPr>
        <w:t xml:space="preserve"> </w:t>
      </w:r>
      <w:r>
        <w:rPr>
          <w:rFonts w:cs="Arial"/>
        </w:rPr>
        <w:t>y</w:t>
      </w:r>
      <w:r>
        <w:rPr>
          <w:rFonts w:cs="Arial"/>
          <w:spacing w:val="-7"/>
        </w:rPr>
        <w:t xml:space="preserve"> </w:t>
      </w:r>
      <w:r>
        <w:rPr>
          <w:rFonts w:cs="Arial"/>
        </w:rPr>
        <w:t>un</w:t>
      </w:r>
      <w:r>
        <w:rPr>
          <w:rFonts w:cs="Arial"/>
          <w:spacing w:val="-64"/>
        </w:rPr>
        <w:t xml:space="preserve"> </w:t>
      </w:r>
      <w:r>
        <w:rPr>
          <w:rFonts w:cs="Arial"/>
        </w:rPr>
        <w:t>adecuado</w:t>
      </w:r>
      <w:r>
        <w:rPr>
          <w:rFonts w:cs="Arial"/>
          <w:spacing w:val="-9"/>
        </w:rPr>
        <w:t xml:space="preserve"> </w:t>
      </w:r>
      <w:r>
        <w:rPr>
          <w:rFonts w:cs="Arial"/>
        </w:rPr>
        <w:t>presupuesto,</w:t>
      </w:r>
      <w:r>
        <w:rPr>
          <w:rFonts w:cs="Arial"/>
          <w:spacing w:val="-7"/>
        </w:rPr>
        <w:t xml:space="preserve"> </w:t>
      </w:r>
      <w:r>
        <w:rPr>
          <w:rFonts w:cs="Arial"/>
        </w:rPr>
        <w:t>que</w:t>
      </w:r>
      <w:r>
        <w:rPr>
          <w:rFonts w:cs="Arial"/>
          <w:spacing w:val="-6"/>
        </w:rPr>
        <w:t xml:space="preserve"> </w:t>
      </w:r>
      <w:r>
        <w:rPr>
          <w:rFonts w:cs="Arial"/>
        </w:rPr>
        <w:t>sea</w:t>
      </w:r>
      <w:r>
        <w:rPr>
          <w:rFonts w:cs="Arial"/>
          <w:spacing w:val="-9"/>
        </w:rPr>
        <w:t xml:space="preserve"> </w:t>
      </w:r>
      <w:r>
        <w:rPr>
          <w:rFonts w:cs="Arial"/>
        </w:rPr>
        <w:t>ejercido</w:t>
      </w:r>
      <w:r>
        <w:rPr>
          <w:rFonts w:cs="Arial"/>
          <w:spacing w:val="-8"/>
        </w:rPr>
        <w:t xml:space="preserve"> </w:t>
      </w:r>
      <w:r>
        <w:rPr>
          <w:rFonts w:cs="Arial"/>
        </w:rPr>
        <w:t>de</w:t>
      </w:r>
      <w:r>
        <w:rPr>
          <w:rFonts w:cs="Arial"/>
          <w:spacing w:val="-9"/>
        </w:rPr>
        <w:t xml:space="preserve"> </w:t>
      </w:r>
      <w:r>
        <w:rPr>
          <w:rFonts w:cs="Arial"/>
        </w:rPr>
        <w:t>manera</w:t>
      </w:r>
      <w:r>
        <w:rPr>
          <w:rFonts w:cs="Arial"/>
          <w:spacing w:val="-10"/>
        </w:rPr>
        <w:t xml:space="preserve"> </w:t>
      </w:r>
      <w:r>
        <w:rPr>
          <w:rFonts w:cs="Arial"/>
        </w:rPr>
        <w:t>efectiva,</w:t>
      </w:r>
      <w:r>
        <w:rPr>
          <w:rFonts w:cs="Arial"/>
          <w:spacing w:val="-6"/>
        </w:rPr>
        <w:t xml:space="preserve"> </w:t>
      </w:r>
      <w:r>
        <w:rPr>
          <w:rFonts w:cs="Arial"/>
        </w:rPr>
        <w:t>de</w:t>
      </w:r>
      <w:r>
        <w:rPr>
          <w:rFonts w:cs="Arial"/>
          <w:spacing w:val="-9"/>
        </w:rPr>
        <w:t xml:space="preserve"> </w:t>
      </w:r>
      <w:r>
        <w:rPr>
          <w:rFonts w:cs="Arial"/>
        </w:rPr>
        <w:t>tal</w:t>
      </w:r>
      <w:r>
        <w:rPr>
          <w:rFonts w:cs="Arial"/>
          <w:spacing w:val="-7"/>
        </w:rPr>
        <w:t xml:space="preserve"> </w:t>
      </w:r>
      <w:r>
        <w:rPr>
          <w:rFonts w:cs="Arial"/>
        </w:rPr>
        <w:t>modo</w:t>
      </w:r>
      <w:r>
        <w:rPr>
          <w:rFonts w:cs="Arial"/>
          <w:spacing w:val="-9"/>
        </w:rPr>
        <w:t xml:space="preserve"> </w:t>
      </w:r>
      <w:r>
        <w:rPr>
          <w:rFonts w:cs="Arial"/>
        </w:rPr>
        <w:t>que</w:t>
      </w:r>
      <w:r>
        <w:rPr>
          <w:rFonts w:cs="Arial"/>
          <w:spacing w:val="-8"/>
        </w:rPr>
        <w:t xml:space="preserve"> </w:t>
      </w:r>
      <w:r>
        <w:rPr>
          <w:rFonts w:cs="Arial"/>
        </w:rPr>
        <w:t>se</w:t>
      </w:r>
      <w:r>
        <w:rPr>
          <w:rFonts w:cs="Arial"/>
          <w:spacing w:val="-9"/>
        </w:rPr>
        <w:t xml:space="preserve"> </w:t>
      </w:r>
      <w:r>
        <w:rPr>
          <w:rFonts w:cs="Arial"/>
        </w:rPr>
        <w:t>cuente</w:t>
      </w:r>
      <w:r>
        <w:rPr>
          <w:rFonts w:cs="Arial"/>
          <w:spacing w:val="-9"/>
        </w:rPr>
        <w:t xml:space="preserve"> </w:t>
      </w:r>
      <w:r>
        <w:rPr>
          <w:rFonts w:cs="Arial"/>
        </w:rPr>
        <w:t xml:space="preserve">con </w:t>
      </w:r>
      <w:r>
        <w:rPr>
          <w:rFonts w:cs="Arial"/>
          <w:spacing w:val="-64"/>
        </w:rPr>
        <w:t xml:space="preserve"> </w:t>
      </w:r>
      <w:r>
        <w:rPr>
          <w:rFonts w:cs="Arial"/>
        </w:rPr>
        <w:t>la infraestructura, personal, planes, programas y materiales suficientes en los servicios</w:t>
      </w:r>
      <w:r>
        <w:rPr>
          <w:rFonts w:cs="Arial"/>
          <w:spacing w:val="1"/>
        </w:rPr>
        <w:t xml:space="preserve"> </w:t>
      </w:r>
      <w:r>
        <w:rPr>
          <w:rFonts w:cs="Arial"/>
        </w:rPr>
        <w:t>educativos</w:t>
      </w:r>
      <w:r>
        <w:rPr>
          <w:rFonts w:cs="Arial"/>
          <w:spacing w:val="-1"/>
        </w:rPr>
        <w:t xml:space="preserve"> </w:t>
      </w:r>
      <w:r>
        <w:rPr>
          <w:rFonts w:cs="Arial"/>
        </w:rPr>
        <w:t>obligatorios</w:t>
      </w:r>
      <w:r>
        <w:rPr>
          <w:rFonts w:cs="Arial"/>
          <w:spacing w:val="-3"/>
        </w:rPr>
        <w:t xml:space="preserve"> </w:t>
      </w:r>
      <w:r>
        <w:rPr>
          <w:rFonts w:cs="Arial"/>
        </w:rPr>
        <w:t>para</w:t>
      </w:r>
      <w:r>
        <w:rPr>
          <w:rFonts w:cs="Arial"/>
          <w:spacing w:val="-1"/>
        </w:rPr>
        <w:t xml:space="preserve"> </w:t>
      </w:r>
      <w:r>
        <w:rPr>
          <w:rFonts w:cs="Arial"/>
        </w:rPr>
        <w:t>todos los titulares</w:t>
      </w:r>
      <w:r>
        <w:rPr>
          <w:rFonts w:cs="Arial"/>
          <w:spacing w:val="-1"/>
        </w:rPr>
        <w:t xml:space="preserve"> </w:t>
      </w:r>
      <w:r>
        <w:rPr>
          <w:rFonts w:cs="Arial"/>
        </w:rPr>
        <w:t>del derecho.</w:t>
      </w:r>
    </w:p>
    <w:p>
      <w:pPr>
        <w:pStyle w:val="Textoindependiente"/>
        <w:spacing w:line="276" w:lineRule="auto"/>
        <w:ind w:left="-567" w:right="-801"/>
        <w:jc w:val="both"/>
        <w:rPr>
          <w:rFonts w:cs="Arial"/>
        </w:rPr>
      </w:pPr>
      <w:r>
        <w:rPr>
          <w:rFonts w:cs="Arial"/>
        </w:rPr>
        <w:t>En lo que respecta al presupuesto, el gasto nacional en educación (incluyendo público y</w:t>
      </w:r>
      <w:r>
        <w:rPr>
          <w:rFonts w:cs="Arial"/>
          <w:spacing w:val="1"/>
        </w:rPr>
        <w:t xml:space="preserve"> </w:t>
      </w:r>
      <w:r>
        <w:rPr>
          <w:rFonts w:cs="Arial"/>
        </w:rPr>
        <w:t>privado)</w:t>
      </w:r>
      <w:r>
        <w:rPr>
          <w:rFonts w:cs="Arial"/>
          <w:spacing w:val="1"/>
        </w:rPr>
        <w:t xml:space="preserve"> </w:t>
      </w:r>
      <w:r>
        <w:rPr>
          <w:rFonts w:cs="Arial"/>
        </w:rPr>
        <w:t>en</w:t>
      </w:r>
      <w:r>
        <w:rPr>
          <w:rFonts w:cs="Arial"/>
          <w:spacing w:val="1"/>
        </w:rPr>
        <w:t xml:space="preserve"> </w:t>
      </w:r>
      <w:r>
        <w:rPr>
          <w:rFonts w:cs="Arial"/>
        </w:rPr>
        <w:t>2016</w:t>
      </w:r>
      <w:r>
        <w:rPr>
          <w:rFonts w:cs="Arial"/>
          <w:spacing w:val="1"/>
        </w:rPr>
        <w:t xml:space="preserve"> </w:t>
      </w:r>
      <w:r>
        <w:rPr>
          <w:rFonts w:cs="Arial"/>
        </w:rPr>
        <w:t>era</w:t>
      </w:r>
      <w:r>
        <w:rPr>
          <w:rFonts w:cs="Arial"/>
          <w:spacing w:val="1"/>
        </w:rPr>
        <w:t xml:space="preserve"> </w:t>
      </w:r>
      <w:r>
        <w:rPr>
          <w:rFonts w:cs="Arial"/>
        </w:rPr>
        <w:t>de</w:t>
      </w:r>
      <w:r>
        <w:rPr>
          <w:rFonts w:cs="Arial"/>
          <w:spacing w:val="1"/>
        </w:rPr>
        <w:t xml:space="preserve"> </w:t>
      </w:r>
      <w:r>
        <w:rPr>
          <w:rFonts w:cs="Arial"/>
        </w:rPr>
        <w:t>6.8%</w:t>
      </w:r>
      <w:r>
        <w:rPr>
          <w:rFonts w:cs="Arial"/>
          <w:spacing w:val="1"/>
        </w:rPr>
        <w:t xml:space="preserve"> </w:t>
      </w:r>
      <w:r>
        <w:rPr>
          <w:rFonts w:cs="Arial"/>
        </w:rPr>
        <w:t>del</w:t>
      </w:r>
      <w:r>
        <w:rPr>
          <w:rFonts w:cs="Arial"/>
          <w:spacing w:val="1"/>
        </w:rPr>
        <w:t xml:space="preserve"> </w:t>
      </w:r>
      <w:r>
        <w:rPr>
          <w:rFonts w:cs="Arial"/>
        </w:rPr>
        <w:t>producto</w:t>
      </w:r>
      <w:r>
        <w:rPr>
          <w:rFonts w:cs="Arial"/>
          <w:spacing w:val="1"/>
        </w:rPr>
        <w:t xml:space="preserve"> </w:t>
      </w:r>
      <w:r>
        <w:rPr>
          <w:rFonts w:cs="Arial"/>
        </w:rPr>
        <w:t>interno</w:t>
      </w:r>
      <w:r>
        <w:rPr>
          <w:rFonts w:cs="Arial"/>
          <w:spacing w:val="1"/>
        </w:rPr>
        <w:t xml:space="preserve"> </w:t>
      </w:r>
      <w:r>
        <w:rPr>
          <w:rFonts w:cs="Arial"/>
        </w:rPr>
        <w:t>bruto</w:t>
      </w:r>
      <w:r>
        <w:rPr>
          <w:rFonts w:cs="Arial"/>
          <w:spacing w:val="1"/>
        </w:rPr>
        <w:t xml:space="preserve"> </w:t>
      </w:r>
      <w:r>
        <w:rPr>
          <w:rFonts w:cs="Arial"/>
        </w:rPr>
        <w:t>(PIB),</w:t>
      </w:r>
      <w:r>
        <w:rPr>
          <w:rFonts w:cs="Arial"/>
          <w:spacing w:val="1"/>
        </w:rPr>
        <w:t xml:space="preserve"> </w:t>
      </w:r>
      <w:r>
        <w:rPr>
          <w:rFonts w:cs="Arial"/>
        </w:rPr>
        <w:t>y</w:t>
      </w:r>
      <w:r>
        <w:rPr>
          <w:rFonts w:cs="Arial"/>
          <w:spacing w:val="1"/>
        </w:rPr>
        <w:t xml:space="preserve"> </w:t>
      </w:r>
      <w:r>
        <w:rPr>
          <w:rFonts w:cs="Arial"/>
        </w:rPr>
        <w:t>el</w:t>
      </w:r>
      <w:r>
        <w:rPr>
          <w:rFonts w:cs="Arial"/>
          <w:spacing w:val="1"/>
        </w:rPr>
        <w:t xml:space="preserve"> </w:t>
      </w:r>
      <w:r>
        <w:rPr>
          <w:rFonts w:cs="Arial"/>
        </w:rPr>
        <w:t>gasto</w:t>
      </w:r>
      <w:r>
        <w:rPr>
          <w:rFonts w:cs="Arial"/>
          <w:spacing w:val="1"/>
        </w:rPr>
        <w:t xml:space="preserve"> </w:t>
      </w:r>
      <w:r>
        <w:rPr>
          <w:rFonts w:cs="Arial"/>
        </w:rPr>
        <w:t>público</w:t>
      </w:r>
      <w:r>
        <w:rPr>
          <w:rFonts w:cs="Arial"/>
          <w:spacing w:val="1"/>
        </w:rPr>
        <w:t xml:space="preserve"> </w:t>
      </w:r>
      <w:r>
        <w:rPr>
          <w:rFonts w:cs="Arial"/>
          <w:spacing w:val="-1"/>
        </w:rPr>
        <w:t>representaba</w:t>
      </w:r>
      <w:r>
        <w:rPr>
          <w:rFonts w:cs="Arial"/>
          <w:spacing w:val="-13"/>
        </w:rPr>
        <w:t xml:space="preserve"> </w:t>
      </w:r>
      <w:r>
        <w:rPr>
          <w:rFonts w:cs="Arial"/>
        </w:rPr>
        <w:t>solo</w:t>
      </w:r>
      <w:r>
        <w:rPr>
          <w:rFonts w:cs="Arial"/>
          <w:spacing w:val="-16"/>
        </w:rPr>
        <w:t xml:space="preserve"> </w:t>
      </w:r>
      <w:r>
        <w:rPr>
          <w:rFonts w:cs="Arial"/>
        </w:rPr>
        <w:t>5.1%</w:t>
      </w:r>
      <w:r>
        <w:rPr>
          <w:rFonts w:cs="Arial"/>
          <w:spacing w:val="-14"/>
        </w:rPr>
        <w:t xml:space="preserve"> </w:t>
      </w:r>
      <w:r>
        <w:rPr>
          <w:rFonts w:cs="Arial"/>
        </w:rPr>
        <w:t>del</w:t>
      </w:r>
      <w:r>
        <w:rPr>
          <w:rFonts w:cs="Arial"/>
          <w:spacing w:val="-14"/>
        </w:rPr>
        <w:t xml:space="preserve"> </w:t>
      </w:r>
      <w:r>
        <w:rPr>
          <w:rFonts w:cs="Arial"/>
        </w:rPr>
        <w:t>PIB,</w:t>
      </w:r>
      <w:r>
        <w:rPr>
          <w:rFonts w:cs="Arial"/>
          <w:spacing w:val="-13"/>
        </w:rPr>
        <w:t xml:space="preserve"> </w:t>
      </w:r>
      <w:r>
        <w:rPr>
          <w:rFonts w:cs="Arial"/>
        </w:rPr>
        <w:t>cantidad</w:t>
      </w:r>
      <w:r>
        <w:rPr>
          <w:rFonts w:cs="Arial"/>
          <w:spacing w:val="-15"/>
        </w:rPr>
        <w:t xml:space="preserve"> </w:t>
      </w:r>
      <w:r>
        <w:rPr>
          <w:rFonts w:cs="Arial"/>
        </w:rPr>
        <w:t>por</w:t>
      </w:r>
      <w:r>
        <w:rPr>
          <w:rFonts w:cs="Arial"/>
          <w:spacing w:val="-15"/>
        </w:rPr>
        <w:t xml:space="preserve"> </w:t>
      </w:r>
      <w:r>
        <w:rPr>
          <w:rFonts w:cs="Arial"/>
        </w:rPr>
        <w:t>debajo</w:t>
      </w:r>
      <w:r>
        <w:rPr>
          <w:rFonts w:cs="Arial"/>
          <w:spacing w:val="-13"/>
        </w:rPr>
        <w:t xml:space="preserve"> </w:t>
      </w:r>
      <w:r>
        <w:rPr>
          <w:rFonts w:cs="Arial"/>
        </w:rPr>
        <w:t>de</w:t>
      </w:r>
      <w:r>
        <w:rPr>
          <w:rFonts w:cs="Arial"/>
          <w:spacing w:val="-13"/>
        </w:rPr>
        <w:t xml:space="preserve"> </w:t>
      </w:r>
      <w:r>
        <w:rPr>
          <w:rFonts w:cs="Arial"/>
        </w:rPr>
        <w:t>las</w:t>
      </w:r>
      <w:r>
        <w:rPr>
          <w:rFonts w:cs="Arial"/>
          <w:spacing w:val="-13"/>
        </w:rPr>
        <w:t xml:space="preserve"> </w:t>
      </w:r>
      <w:r>
        <w:rPr>
          <w:rFonts w:cs="Arial"/>
        </w:rPr>
        <w:t>recomendaciones</w:t>
      </w:r>
      <w:r>
        <w:rPr>
          <w:rFonts w:cs="Arial"/>
          <w:spacing w:val="-16"/>
        </w:rPr>
        <w:t xml:space="preserve"> </w:t>
      </w:r>
      <w:r>
        <w:rPr>
          <w:rFonts w:cs="Arial"/>
        </w:rPr>
        <w:t>de</w:t>
      </w:r>
      <w:r>
        <w:rPr>
          <w:rFonts w:cs="Arial"/>
          <w:spacing w:val="-16"/>
        </w:rPr>
        <w:t xml:space="preserve"> </w:t>
      </w:r>
      <w:r>
        <w:rPr>
          <w:rFonts w:cs="Arial"/>
        </w:rPr>
        <w:t>organismos</w:t>
      </w:r>
      <w:r>
        <w:rPr>
          <w:rFonts w:cs="Arial"/>
          <w:spacing w:val="-64"/>
        </w:rPr>
        <w:t xml:space="preserve"> </w:t>
      </w:r>
      <w:r>
        <w:rPr>
          <w:rFonts w:cs="Arial"/>
        </w:rPr>
        <w:t>internacionales</w:t>
      </w:r>
      <w:r>
        <w:rPr>
          <w:rFonts w:cs="Arial"/>
          <w:spacing w:val="-3"/>
        </w:rPr>
        <w:t xml:space="preserve"> </w:t>
      </w:r>
      <w:r>
        <w:rPr>
          <w:rFonts w:cs="Arial"/>
        </w:rPr>
        <w:t>como</w:t>
      </w:r>
      <w:r>
        <w:rPr>
          <w:rFonts w:cs="Arial"/>
          <w:spacing w:val="3"/>
        </w:rPr>
        <w:t xml:space="preserve"> </w:t>
      </w:r>
      <w:r>
        <w:rPr>
          <w:rFonts w:cs="Arial"/>
        </w:rPr>
        <w:t>la OCDE,</w:t>
      </w:r>
      <w:r>
        <w:rPr>
          <w:rFonts w:cs="Arial"/>
          <w:spacing w:val="1"/>
        </w:rPr>
        <w:t xml:space="preserve"> </w:t>
      </w:r>
      <w:r>
        <w:rPr>
          <w:rFonts w:cs="Arial"/>
        </w:rPr>
        <w:t>(DIAGNÓSTICO CONEVAL,</w:t>
      </w:r>
      <w:r>
        <w:rPr>
          <w:rFonts w:cs="Arial"/>
          <w:spacing w:val="-2"/>
        </w:rPr>
        <w:t xml:space="preserve"> </w:t>
      </w:r>
      <w:r>
        <w:rPr>
          <w:rFonts w:cs="Arial"/>
        </w:rPr>
        <w:t>2018).</w:t>
      </w:r>
    </w:p>
    <w:p>
      <w:pPr>
        <w:pStyle w:val="Textoindependiente"/>
        <w:spacing w:before="1" w:line="276" w:lineRule="auto"/>
        <w:ind w:left="-567" w:right="-801"/>
        <w:jc w:val="both"/>
        <w:rPr>
          <w:rFonts w:cs="Arial"/>
        </w:rPr>
      </w:pPr>
      <w:r>
        <w:rPr>
          <w:rFonts w:cs="Arial"/>
        </w:rPr>
        <w:t>El financiamiento para la operación de Servicios Educativos del Estado de Chihuahua se</w:t>
      </w:r>
      <w:r>
        <w:rPr>
          <w:rFonts w:cs="Arial"/>
          <w:spacing w:val="1"/>
        </w:rPr>
        <w:t xml:space="preserve"> </w:t>
      </w:r>
      <w:r>
        <w:rPr>
          <w:rFonts w:cs="Arial"/>
          <w:spacing w:val="-1"/>
        </w:rPr>
        <w:t>realiza</w:t>
      </w:r>
      <w:r>
        <w:rPr>
          <w:rFonts w:cs="Arial"/>
          <w:spacing w:val="-14"/>
        </w:rPr>
        <w:t xml:space="preserve"> </w:t>
      </w:r>
      <w:r>
        <w:rPr>
          <w:rFonts w:cs="Arial"/>
          <w:spacing w:val="-1"/>
        </w:rPr>
        <w:t>con</w:t>
      </w:r>
      <w:r>
        <w:rPr>
          <w:rFonts w:cs="Arial"/>
          <w:spacing w:val="-14"/>
        </w:rPr>
        <w:t xml:space="preserve"> </w:t>
      </w:r>
      <w:r>
        <w:rPr>
          <w:rFonts w:cs="Arial"/>
          <w:spacing w:val="-1"/>
        </w:rPr>
        <w:t>recurso</w:t>
      </w:r>
      <w:r>
        <w:rPr>
          <w:rFonts w:cs="Arial"/>
          <w:spacing w:val="-16"/>
        </w:rPr>
        <w:t xml:space="preserve"> </w:t>
      </w:r>
      <w:r>
        <w:rPr>
          <w:rFonts w:cs="Arial"/>
          <w:spacing w:val="-1"/>
        </w:rPr>
        <w:t>federal</w:t>
      </w:r>
      <w:r>
        <w:rPr>
          <w:rFonts w:cs="Arial"/>
          <w:spacing w:val="-15"/>
        </w:rPr>
        <w:t xml:space="preserve"> </w:t>
      </w:r>
      <w:r>
        <w:rPr>
          <w:rFonts w:cs="Arial"/>
          <w:spacing w:val="-1"/>
        </w:rPr>
        <w:t>(Fondo</w:t>
      </w:r>
      <w:r>
        <w:rPr>
          <w:rFonts w:cs="Arial"/>
          <w:spacing w:val="-15"/>
        </w:rPr>
        <w:t xml:space="preserve"> </w:t>
      </w:r>
      <w:r>
        <w:rPr>
          <w:rFonts w:cs="Arial"/>
        </w:rPr>
        <w:t>de</w:t>
      </w:r>
      <w:r>
        <w:rPr>
          <w:rFonts w:cs="Arial"/>
          <w:spacing w:val="-16"/>
        </w:rPr>
        <w:t xml:space="preserve"> </w:t>
      </w:r>
      <w:r>
        <w:rPr>
          <w:rFonts w:cs="Arial"/>
        </w:rPr>
        <w:t>Aportaciones</w:t>
      </w:r>
      <w:r>
        <w:rPr>
          <w:rFonts w:cs="Arial"/>
          <w:spacing w:val="-14"/>
        </w:rPr>
        <w:t xml:space="preserve"> </w:t>
      </w:r>
      <w:r>
        <w:rPr>
          <w:rFonts w:cs="Arial"/>
        </w:rPr>
        <w:t>para</w:t>
      </w:r>
      <w:r>
        <w:rPr>
          <w:rFonts w:cs="Arial"/>
          <w:spacing w:val="-13"/>
        </w:rPr>
        <w:t xml:space="preserve"> </w:t>
      </w:r>
      <w:r>
        <w:rPr>
          <w:rFonts w:cs="Arial"/>
        </w:rPr>
        <w:t>la</w:t>
      </w:r>
      <w:r>
        <w:rPr>
          <w:rFonts w:cs="Arial"/>
          <w:spacing w:val="-14"/>
        </w:rPr>
        <w:t xml:space="preserve"> </w:t>
      </w:r>
      <w:r>
        <w:rPr>
          <w:rFonts w:cs="Arial"/>
        </w:rPr>
        <w:t>Nómina</w:t>
      </w:r>
      <w:r>
        <w:rPr>
          <w:rFonts w:cs="Arial"/>
          <w:spacing w:val="-13"/>
        </w:rPr>
        <w:t xml:space="preserve"> </w:t>
      </w:r>
      <w:r>
        <w:rPr>
          <w:rFonts w:cs="Arial"/>
        </w:rPr>
        <w:t>y</w:t>
      </w:r>
      <w:r>
        <w:rPr>
          <w:rFonts w:cs="Arial"/>
          <w:spacing w:val="-17"/>
        </w:rPr>
        <w:t xml:space="preserve"> </w:t>
      </w:r>
      <w:r>
        <w:rPr>
          <w:rFonts w:cs="Arial"/>
        </w:rPr>
        <w:t>Gasto</w:t>
      </w:r>
      <w:r>
        <w:rPr>
          <w:rFonts w:cs="Arial"/>
          <w:spacing w:val="-13"/>
        </w:rPr>
        <w:t xml:space="preserve"> </w:t>
      </w:r>
      <w:r>
        <w:rPr>
          <w:rFonts w:cs="Arial"/>
        </w:rPr>
        <w:t>Operativo</w:t>
      </w:r>
      <w:r>
        <w:rPr>
          <w:rFonts w:cs="Arial"/>
          <w:spacing w:val="-13"/>
        </w:rPr>
        <w:t xml:space="preserve"> </w:t>
      </w:r>
      <w:r>
        <w:rPr>
          <w:rFonts w:cs="Arial"/>
        </w:rPr>
        <w:t xml:space="preserve">FONE) </w:t>
      </w:r>
      <w:r>
        <w:rPr>
          <w:rFonts w:cs="Arial"/>
          <w:spacing w:val="-64"/>
        </w:rPr>
        <w:t xml:space="preserve"> </w:t>
      </w:r>
      <w:r>
        <w:rPr>
          <w:rFonts w:cs="Arial"/>
        </w:rPr>
        <w:t>y</w:t>
      </w:r>
      <w:r>
        <w:rPr>
          <w:rFonts w:cs="Arial"/>
          <w:spacing w:val="-3"/>
        </w:rPr>
        <w:t xml:space="preserve"> </w:t>
      </w:r>
      <w:r>
        <w:rPr>
          <w:rFonts w:cs="Arial"/>
        </w:rPr>
        <w:t>con recurso estatal.</w:t>
      </w:r>
    </w:p>
    <w:p>
      <w:pPr>
        <w:pStyle w:val="Textoindependiente"/>
        <w:spacing w:line="276" w:lineRule="auto"/>
        <w:ind w:left="-567" w:right="-801"/>
        <w:jc w:val="both"/>
        <w:rPr>
          <w:rFonts w:cs="Arial"/>
        </w:rPr>
      </w:pPr>
    </w:p>
    <w:p>
      <w:pPr>
        <w:pStyle w:val="Textoindependiente"/>
        <w:spacing w:line="276" w:lineRule="auto"/>
        <w:ind w:left="-567" w:right="-801"/>
        <w:jc w:val="both"/>
        <w:rPr>
          <w:rFonts w:cs="Arial"/>
        </w:rPr>
      </w:pPr>
    </w:p>
    <w:p>
      <w:pPr>
        <w:pStyle w:val="Textoindependiente"/>
        <w:spacing w:before="9" w:line="276" w:lineRule="auto"/>
        <w:ind w:left="-567" w:right="-801"/>
        <w:rPr>
          <w:rFonts w:cs="Arial"/>
        </w:rPr>
      </w:pPr>
    </w:p>
    <w:p>
      <w:pPr>
        <w:pStyle w:val="Textoindependiente"/>
        <w:spacing w:line="276" w:lineRule="auto"/>
        <w:ind w:left="-567" w:right="-801"/>
        <w:jc w:val="both"/>
        <w:rPr>
          <w:rFonts w:cs="Arial"/>
        </w:rPr>
      </w:pPr>
      <w:r>
        <w:rPr>
          <w:rFonts w:cs="Arial"/>
        </w:rPr>
        <w:t>La distribución del gasto público dista de ser suficiente para garantizar el cumplimiento del</w:t>
      </w:r>
      <w:r>
        <w:rPr>
          <w:rFonts w:cs="Arial"/>
          <w:spacing w:val="1"/>
        </w:rPr>
        <w:t xml:space="preserve"> </w:t>
      </w:r>
      <w:r>
        <w:rPr>
          <w:rFonts w:cs="Arial"/>
        </w:rPr>
        <w:t>derecho; el destino del gasto se enfoca, casi en su totalidad, al pago de nómina y deja</w:t>
      </w:r>
      <w:r>
        <w:rPr>
          <w:rFonts w:cs="Arial"/>
          <w:spacing w:val="1"/>
        </w:rPr>
        <w:t xml:space="preserve"> </w:t>
      </w:r>
      <w:r>
        <w:rPr>
          <w:rFonts w:cs="Arial"/>
        </w:rPr>
        <w:t>algunos</w:t>
      </w:r>
      <w:r>
        <w:rPr>
          <w:rFonts w:cs="Arial"/>
          <w:spacing w:val="-8"/>
        </w:rPr>
        <w:t xml:space="preserve"> </w:t>
      </w:r>
      <w:r>
        <w:rPr>
          <w:rFonts w:cs="Arial"/>
        </w:rPr>
        <w:t>rubros</w:t>
      </w:r>
      <w:r>
        <w:rPr>
          <w:rFonts w:cs="Arial"/>
          <w:spacing w:val="-8"/>
        </w:rPr>
        <w:t xml:space="preserve"> </w:t>
      </w:r>
      <w:r>
        <w:rPr>
          <w:rFonts w:cs="Arial"/>
        </w:rPr>
        <w:t>como</w:t>
      </w:r>
      <w:r>
        <w:rPr>
          <w:rFonts w:cs="Arial"/>
          <w:spacing w:val="-7"/>
        </w:rPr>
        <w:t xml:space="preserve"> </w:t>
      </w:r>
      <w:r>
        <w:rPr>
          <w:rFonts w:cs="Arial"/>
        </w:rPr>
        <w:t>materiales,</w:t>
      </w:r>
      <w:r>
        <w:rPr>
          <w:rFonts w:cs="Arial"/>
          <w:spacing w:val="-7"/>
        </w:rPr>
        <w:t xml:space="preserve"> </w:t>
      </w:r>
      <w:r>
        <w:rPr>
          <w:rFonts w:cs="Arial"/>
        </w:rPr>
        <w:t>capacitación</w:t>
      </w:r>
      <w:r>
        <w:rPr>
          <w:rFonts w:cs="Arial"/>
          <w:spacing w:val="-7"/>
        </w:rPr>
        <w:t xml:space="preserve"> </w:t>
      </w:r>
      <w:r>
        <w:rPr>
          <w:rFonts w:cs="Arial"/>
        </w:rPr>
        <w:t>e</w:t>
      </w:r>
      <w:r>
        <w:rPr>
          <w:rFonts w:cs="Arial"/>
          <w:spacing w:val="-6"/>
        </w:rPr>
        <w:t xml:space="preserve"> </w:t>
      </w:r>
      <w:r>
        <w:rPr>
          <w:rFonts w:cs="Arial"/>
        </w:rPr>
        <w:t>infraestructura</w:t>
      </w:r>
      <w:r>
        <w:rPr>
          <w:rFonts w:cs="Arial"/>
          <w:spacing w:val="-8"/>
        </w:rPr>
        <w:t xml:space="preserve"> </w:t>
      </w:r>
      <w:r>
        <w:rPr>
          <w:rFonts w:cs="Arial"/>
        </w:rPr>
        <w:t>sin</w:t>
      </w:r>
      <w:r>
        <w:rPr>
          <w:rFonts w:cs="Arial"/>
          <w:spacing w:val="-7"/>
        </w:rPr>
        <w:t xml:space="preserve"> </w:t>
      </w:r>
      <w:r>
        <w:rPr>
          <w:rFonts w:cs="Arial"/>
        </w:rPr>
        <w:t>suficiente</w:t>
      </w:r>
      <w:r>
        <w:rPr>
          <w:rFonts w:cs="Arial"/>
          <w:spacing w:val="-9"/>
        </w:rPr>
        <w:t xml:space="preserve"> </w:t>
      </w:r>
      <w:r>
        <w:rPr>
          <w:rFonts w:cs="Arial"/>
        </w:rPr>
        <w:t>financiamiento.</w:t>
      </w:r>
      <w:r>
        <w:rPr>
          <w:rFonts w:cs="Arial"/>
          <w:spacing w:val="-64"/>
        </w:rPr>
        <w:t xml:space="preserve"> </w:t>
      </w:r>
      <w:r>
        <w:rPr>
          <w:rFonts w:cs="Arial"/>
        </w:rPr>
        <w:t>Por tanto, la disponibilidad y distribución del presupuesto es insuficiente para garantizar el</w:t>
      </w:r>
      <w:r>
        <w:rPr>
          <w:rFonts w:cs="Arial"/>
          <w:spacing w:val="1"/>
        </w:rPr>
        <w:t xml:space="preserve"> </w:t>
      </w:r>
      <w:r>
        <w:rPr>
          <w:rFonts w:cs="Arial"/>
        </w:rPr>
        <w:t>derecho</w:t>
      </w:r>
      <w:r>
        <w:rPr>
          <w:rFonts w:cs="Arial"/>
          <w:spacing w:val="-1"/>
        </w:rPr>
        <w:t xml:space="preserve"> </w:t>
      </w:r>
      <w:r>
        <w:rPr>
          <w:rFonts w:cs="Arial"/>
        </w:rPr>
        <w:t>a</w:t>
      </w:r>
      <w:r>
        <w:rPr>
          <w:rFonts w:cs="Arial"/>
          <w:spacing w:val="1"/>
        </w:rPr>
        <w:t xml:space="preserve"> </w:t>
      </w:r>
      <w:r>
        <w:rPr>
          <w:rFonts w:cs="Arial"/>
        </w:rPr>
        <w:t>la educación.</w:t>
      </w:r>
    </w:p>
    <w:p>
      <w:pPr>
        <w:spacing w:line="276" w:lineRule="auto"/>
        <w:ind w:left="-567" w:right="-801"/>
        <w:jc w:val="both"/>
        <w:rPr>
          <w:rFonts w:ascii="Arial" w:eastAsia="Times New Roman" w:hAnsi="Arial" w:cs="Arial"/>
          <w:lang w:eastAsia="es-ES"/>
        </w:rPr>
      </w:pPr>
    </w:p>
    <w:p>
      <w:pPr>
        <w:pStyle w:val="Ttulo2"/>
        <w:numPr>
          <w:ilvl w:val="1"/>
          <w:numId w:val="118"/>
        </w:numPr>
        <w:ind w:left="-567" w:right="-801" w:firstLine="0"/>
        <w:rPr>
          <w:rFonts w:ascii="Arial" w:hAnsi="Arial" w:cs="Arial"/>
        </w:rPr>
      </w:pPr>
      <w:bookmarkStart w:id="15" w:name="_Toc121749426"/>
      <w:r>
        <w:rPr>
          <w:rFonts w:ascii="Arial" w:hAnsi="Arial" w:cs="Arial"/>
        </w:rPr>
        <w:t>Evolución del problema</w:t>
      </w:r>
      <w:bookmarkEnd w:id="15"/>
    </w:p>
    <w:p>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Los Servicios Educativos del Estado de Chihuahua mediante el programa 2E208C1 busca coadyuvar a lograr una educación básica de calidad, cerrando la brecha de la marginación y la desigualdad a través de la justa distribución de oportunidades, abriendo los espacios necesarios para que todas y todos puedan tener acceso a las mismas oportunidades, incorporarse al desarrollo y acceder a mejores condiciones de bienestar, lo anterior conforme a lo establecido en los Objetivos Prioritarios del Plan Nacional de Desarrollo 2019-2024: Garantizar el derecho a la educación laica, gratuita, incluyente, pertinente y de calidad en todos los tipos, niveles y modalidades del Sistema Educativo Nacional y para todas las personas. La problemática que el Programa busca atender se encuentra definida como: Las escuelas públicas de educación básica presentan ambientes escolares desfavorables para el aprendizaje.</w:t>
      </w:r>
    </w:p>
    <w:p>
      <w:pPr>
        <w:shd w:val="clear" w:color="auto" w:fill="FFFFFF"/>
        <w:spacing w:after="240"/>
        <w:ind w:left="-567" w:right="-801"/>
        <w:jc w:val="both"/>
        <w:rPr>
          <w:rFonts w:ascii="Arial" w:eastAsia="Times New Roman" w:hAnsi="Arial" w:cs="Arial"/>
          <w:color w:val="222222"/>
          <w:lang w:eastAsia="es-MX"/>
        </w:rPr>
      </w:pPr>
      <w:r>
        <w:rPr>
          <w:rFonts w:ascii="Arial" w:eastAsia="Times New Roman" w:hAnsi="Arial" w:cs="Arial"/>
          <w:color w:val="222222"/>
          <w:lang w:eastAsia="es-MX"/>
        </w:rPr>
        <w:t>A continuación se presenta información de los niveles de Educación Básica desde inicial hasta secundaria, que muestra cómo ha evolucionado la atención o cobertura desde la implementación del presupuesto basado en resultados hasta el ciclo escolar 2022-2023.</w:t>
      </w:r>
    </w:p>
    <w:tbl>
      <w:tblPr>
        <w:tblW w:w="10373" w:type="dxa"/>
        <w:jc w:val="center"/>
        <w:tblLook w:val="04A0" w:firstRow="1" w:lastRow="0" w:firstColumn="1" w:lastColumn="0" w:noHBand="0" w:noVBand="1"/>
      </w:tblPr>
      <w:tblGrid>
        <w:gridCol w:w="1192"/>
        <w:gridCol w:w="1061"/>
        <w:gridCol w:w="1004"/>
        <w:gridCol w:w="620"/>
        <w:gridCol w:w="1004"/>
        <w:gridCol w:w="620"/>
        <w:gridCol w:w="1004"/>
        <w:gridCol w:w="620"/>
        <w:gridCol w:w="1004"/>
        <w:gridCol w:w="620"/>
        <w:gridCol w:w="1004"/>
        <w:gridCol w:w="173"/>
        <w:gridCol w:w="447"/>
      </w:tblGrid>
      <w:tr>
        <w:trPr>
          <w:gridAfter w:val="1"/>
          <w:wAfter w:w="447" w:type="dxa"/>
          <w:trHeight w:val="258"/>
          <w:jc w:val="center"/>
        </w:trPr>
        <w:tc>
          <w:tcPr>
            <w:tcW w:w="9926" w:type="dxa"/>
            <w:gridSpan w:val="12"/>
            <w:tcBorders>
              <w:top w:val="nil"/>
              <w:left w:val="nil"/>
              <w:bottom w:val="nil"/>
              <w:right w:val="nil"/>
            </w:tcBorders>
            <w:shd w:val="clear" w:color="000000" w:fill="7030A0"/>
            <w:vAlign w:val="center"/>
            <w:hideMark/>
          </w:tcPr>
          <w:p>
            <w:pPr>
              <w:spacing w:after="0" w:line="240" w:lineRule="auto"/>
              <w:jc w:val="center"/>
              <w:rPr>
                <w:rFonts w:ascii="Arial" w:eastAsia="Times New Roman" w:hAnsi="Arial" w:cs="Arial"/>
                <w:b/>
                <w:bCs/>
                <w:color w:val="FFFFFF"/>
                <w:sz w:val="16"/>
                <w:szCs w:val="16"/>
                <w:lang w:val="es-ES"/>
              </w:rPr>
            </w:pPr>
            <w:r>
              <w:rPr>
                <w:rFonts w:ascii="Arial" w:eastAsia="Times New Roman" w:hAnsi="Arial" w:cs="Arial"/>
                <w:b/>
                <w:bCs/>
                <w:color w:val="FFFFFF"/>
                <w:sz w:val="16"/>
                <w:szCs w:val="16"/>
                <w:lang w:val="es-ES"/>
              </w:rPr>
              <w:t>INFANTES CON EDADES DE 0 A 2 AÑOS DE EDAD</w:t>
            </w:r>
          </w:p>
        </w:tc>
      </w:tr>
      <w:tr>
        <w:tblPrEx>
          <w:jc w:val="left"/>
          <w:tblCellMar>
            <w:left w:w="70" w:type="dxa"/>
            <w:right w:w="70" w:type="dxa"/>
          </w:tblCellMar>
        </w:tblPrEx>
        <w:trPr>
          <w:trHeight w:val="382"/>
        </w:trPr>
        <w:tc>
          <w:tcPr>
            <w:tcW w:w="1192"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6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620" w:type="dxa"/>
            <w:gridSpan w:val="2"/>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blPrEx>
          <w:jc w:val="left"/>
          <w:tblCellMar>
            <w:left w:w="70" w:type="dxa"/>
            <w:right w:w="70" w:type="dxa"/>
          </w:tblCellMar>
        </w:tblPrEx>
        <w:trPr>
          <w:trHeight w:val="280"/>
        </w:trPr>
        <w:tc>
          <w:tcPr>
            <w:tcW w:w="1192"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Inicial</w:t>
            </w: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9,377</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4.80%</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8,607</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4.59%</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3,529</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1.90%</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1,338</w:t>
            </w:r>
          </w:p>
        </w:tc>
        <w:tc>
          <w:tcPr>
            <w:tcW w:w="620" w:type="dxa"/>
            <w:gridSpan w:val="2"/>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0.72%</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304</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0.16%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160</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96</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0.05%</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51</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0.03%</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1,228</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0.63%</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856</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0.46%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653</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0.35%</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647</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0.35%</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10,127</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7,628</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4.07%</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7,872</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4.23%</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7,462</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4.04%</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21,036</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10.77%</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17,251</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9.19%</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12,150</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6.53%</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9,498</w:t>
            </w:r>
          </w:p>
        </w:tc>
        <w:tc>
          <w:tcPr>
            <w:tcW w:w="620" w:type="dxa"/>
            <w:gridSpan w:val="2"/>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5.15%</w:t>
            </w:r>
          </w:p>
        </w:tc>
      </w:tr>
      <w:tr>
        <w:tblPrEx>
          <w:jc w:val="left"/>
          <w:tblCellMar>
            <w:left w:w="70" w:type="dxa"/>
            <w:right w:w="70" w:type="dxa"/>
          </w:tblCellMar>
        </w:tblPrEx>
        <w:trPr>
          <w:trHeight w:val="280"/>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0</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174,274</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89.23%</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170,394</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90.81%</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173,948</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93.47%</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175,086</w:t>
            </w:r>
          </w:p>
        </w:tc>
        <w:tc>
          <w:tcPr>
            <w:tcW w:w="620" w:type="dxa"/>
            <w:gridSpan w:val="2"/>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94.85%</w:t>
            </w:r>
          </w:p>
        </w:tc>
      </w:tr>
      <w:tr>
        <w:tblPrEx>
          <w:jc w:val="left"/>
          <w:tblCellMar>
            <w:left w:w="70" w:type="dxa"/>
            <w:right w:w="70" w:type="dxa"/>
          </w:tblCellMar>
        </w:tblPrEx>
        <w:trPr>
          <w:trHeight w:val="268"/>
        </w:trPr>
        <w:tc>
          <w:tcPr>
            <w:tcW w:w="1192"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6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62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620" w:type="dxa"/>
            <w:gridSpan w:val="2"/>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blPrEx>
          <w:jc w:val="left"/>
          <w:tblCellMar>
            <w:left w:w="70" w:type="dxa"/>
            <w:right w:w="70" w:type="dxa"/>
          </w:tblCellMar>
        </w:tblPrEx>
        <w:trPr>
          <w:trHeight w:val="268"/>
        </w:trPr>
        <w:tc>
          <w:tcPr>
            <w:tcW w:w="2253"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 0-2 años</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195,310</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187,645</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186,098</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184,584</w:t>
            </w:r>
          </w:p>
        </w:tc>
        <w:tc>
          <w:tcPr>
            <w:tcW w:w="620" w:type="dxa"/>
            <w:gridSpan w:val="2"/>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blPrEx>
          <w:jc w:val="left"/>
          <w:tblCellMar>
            <w:left w:w="70" w:type="dxa"/>
            <w:right w:w="70" w:type="dxa"/>
          </w:tblCellMar>
        </w:tblPrEx>
        <w:trPr>
          <w:trHeight w:val="255"/>
        </w:trPr>
        <w:tc>
          <w:tcPr>
            <w:tcW w:w="10373" w:type="dxa"/>
            <w:gridSpan w:val="13"/>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MATRICULA DE INFANTES CON EDADES DE 3 A 5 AÑOS</w:t>
            </w:r>
          </w:p>
        </w:tc>
      </w:tr>
      <w:tr>
        <w:tblPrEx>
          <w:jc w:val="left"/>
          <w:tblCellMar>
            <w:left w:w="70" w:type="dxa"/>
            <w:right w:w="70" w:type="dxa"/>
          </w:tblCellMar>
        </w:tblPrEx>
        <w:trPr>
          <w:trHeight w:val="382"/>
        </w:trPr>
        <w:tc>
          <w:tcPr>
            <w:tcW w:w="1192"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6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620" w:type="dxa"/>
            <w:gridSpan w:val="2"/>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blPrEx>
          <w:jc w:val="left"/>
          <w:tblCellMar>
            <w:left w:w="70" w:type="dxa"/>
            <w:right w:w="70" w:type="dxa"/>
          </w:tblCellMar>
        </w:tblPrEx>
        <w:trPr>
          <w:trHeight w:val="280"/>
        </w:trPr>
        <w:tc>
          <w:tcPr>
            <w:tcW w:w="1192"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Preescolar</w:t>
            </w: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76,259</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35.76%</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75,175</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37.62%</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72,156</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37.63%</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69,472</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36.50%</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70,503</w:t>
            </w:r>
          </w:p>
        </w:tc>
        <w:tc>
          <w:tcPr>
            <w:tcW w:w="620" w:type="dxa"/>
            <w:gridSpan w:val="2"/>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37.36%</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31,518</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14.78%</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30,152</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15.09%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26,830</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13.99%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25,664</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13.48%</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25,609</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13.57%</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4,373</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2.05%</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5,116</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2.56%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3,972</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2.07%</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4,187</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2.20%</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3,486</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1.85%</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11,896</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5.58%</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12,713</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6.36%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11,674</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6.09%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12,351</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6.49%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13,695</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7.26%</w:t>
            </w:r>
          </w:p>
        </w:tc>
      </w:tr>
      <w:tr>
        <w:tblPrEx>
          <w:jc w:val="left"/>
          <w:tblCellMar>
            <w:left w:w="70" w:type="dxa"/>
            <w:right w:w="70" w:type="dxa"/>
          </w:tblCellMar>
        </w:tblPrEx>
        <w:trPr>
          <w:trHeight w:val="255"/>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124,046</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58.17%</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123,156</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61.63%</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114,632</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59.78%</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111,674</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58.67%</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113,293</w:t>
            </w:r>
          </w:p>
        </w:tc>
        <w:tc>
          <w:tcPr>
            <w:tcW w:w="620" w:type="dxa"/>
            <w:gridSpan w:val="2"/>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60.03%</w:t>
            </w:r>
          </w:p>
        </w:tc>
      </w:tr>
      <w:tr>
        <w:tblPrEx>
          <w:jc w:val="left"/>
          <w:tblCellMar>
            <w:left w:w="70" w:type="dxa"/>
            <w:right w:w="70" w:type="dxa"/>
          </w:tblCellMar>
        </w:tblPrEx>
        <w:trPr>
          <w:trHeight w:val="280"/>
        </w:trPr>
        <w:tc>
          <w:tcPr>
            <w:tcW w:w="1192"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89,202</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41.83%</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76,664</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38.37%</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77,134</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40.22%</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78,678</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41.33%</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75,424</w:t>
            </w:r>
          </w:p>
        </w:tc>
        <w:tc>
          <w:tcPr>
            <w:tcW w:w="620" w:type="dxa"/>
            <w:gridSpan w:val="2"/>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39.97%</w:t>
            </w:r>
          </w:p>
        </w:tc>
      </w:tr>
      <w:tr>
        <w:tblPrEx>
          <w:jc w:val="left"/>
          <w:tblCellMar>
            <w:left w:w="70" w:type="dxa"/>
            <w:right w:w="70" w:type="dxa"/>
          </w:tblCellMar>
        </w:tblPrEx>
        <w:trPr>
          <w:trHeight w:val="268"/>
        </w:trPr>
        <w:tc>
          <w:tcPr>
            <w:tcW w:w="1192"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6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62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620" w:type="dxa"/>
            <w:gridSpan w:val="2"/>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blPrEx>
          <w:jc w:val="left"/>
          <w:tblCellMar>
            <w:left w:w="70" w:type="dxa"/>
            <w:right w:w="70" w:type="dxa"/>
          </w:tblCellMar>
        </w:tblPrEx>
        <w:trPr>
          <w:trHeight w:val="268"/>
        </w:trPr>
        <w:tc>
          <w:tcPr>
            <w:tcW w:w="2253"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213,248</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199,820</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191,766</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190,352</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188,717</w:t>
            </w:r>
          </w:p>
        </w:tc>
        <w:tc>
          <w:tcPr>
            <w:tcW w:w="620" w:type="dxa"/>
            <w:gridSpan w:val="2"/>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bl>
    <w:p>
      <w:pPr>
        <w:shd w:val="clear" w:color="auto" w:fill="FFFFFF"/>
        <w:spacing w:after="240"/>
        <w:ind w:left="-567"/>
        <w:rPr>
          <w:rFonts w:ascii="Arial" w:eastAsia="Times New Roman" w:hAnsi="Arial" w:cs="Arial"/>
          <w:color w:val="222222"/>
          <w:sz w:val="16"/>
          <w:szCs w:val="16"/>
          <w:lang w:val="es-ES" w:eastAsia="es-MX"/>
        </w:rPr>
      </w:pPr>
      <w:r>
        <w:rPr>
          <w:rFonts w:ascii="Arial" w:eastAsia="Times New Roman" w:hAnsi="Arial" w:cs="Arial"/>
          <w:color w:val="222222"/>
          <w:sz w:val="16"/>
          <w:szCs w:val="16"/>
          <w:lang w:val="es-ES" w:eastAsia="es-MX"/>
        </w:rPr>
        <w:t xml:space="preserve">Fuente: SEECH, estadística para </w:t>
      </w:r>
      <w:proofErr w:type="spellStart"/>
      <w:r>
        <w:rPr>
          <w:rFonts w:ascii="Arial" w:eastAsia="Times New Roman" w:hAnsi="Arial" w:cs="Arial"/>
          <w:color w:val="222222"/>
          <w:sz w:val="16"/>
          <w:szCs w:val="16"/>
          <w:lang w:val="es-ES" w:eastAsia="es-MX"/>
        </w:rPr>
        <w:t>PbR</w:t>
      </w:r>
      <w:proofErr w:type="spellEnd"/>
      <w:r>
        <w:rPr>
          <w:rFonts w:ascii="Arial" w:eastAsia="Times New Roman" w:hAnsi="Arial" w:cs="Arial"/>
          <w:color w:val="222222"/>
          <w:sz w:val="16"/>
          <w:szCs w:val="16"/>
          <w:lang w:val="es-ES" w:eastAsia="es-MX"/>
        </w:rPr>
        <w:t xml:space="preserve"> 2011, 2016, 2021, 2022, 2023.</w:t>
      </w:r>
    </w:p>
    <w:p>
      <w:pPr>
        <w:shd w:val="clear" w:color="auto" w:fill="FFFFFF"/>
        <w:spacing w:after="240"/>
        <w:rPr>
          <w:rFonts w:ascii="Arial" w:eastAsia="Times New Roman" w:hAnsi="Arial" w:cs="Arial"/>
          <w:color w:val="222222"/>
          <w:lang w:val="es-ES" w:eastAsia="es-MX"/>
        </w:rPr>
      </w:pPr>
    </w:p>
    <w:p>
      <w:pPr>
        <w:shd w:val="clear" w:color="auto" w:fill="FFFFFF"/>
        <w:spacing w:after="240"/>
        <w:ind w:left="-567" w:right="-801"/>
        <w:jc w:val="both"/>
        <w:rPr>
          <w:rFonts w:ascii="Arial" w:eastAsia="Times New Roman" w:hAnsi="Arial" w:cs="Arial"/>
          <w:color w:val="222222"/>
          <w:lang w:eastAsia="es-MX"/>
        </w:rPr>
      </w:pPr>
      <w:r>
        <w:rPr>
          <w:rFonts w:ascii="Arial" w:eastAsia="Times New Roman" w:hAnsi="Arial" w:cs="Arial"/>
          <w:color w:val="222222"/>
          <w:lang w:eastAsia="es-MX"/>
        </w:rPr>
        <w:lastRenderedPageBreak/>
        <w:t>En el ciclo 2010-2011 la educación inicial no llevaba un registro en la 911 en estadística, por lo que la información disponible no es oficializada y debido a lo anterior no se registró información para ese ciclo, tanto en educación inicial como en preescolar se puede observar una disminución en la población a través de los años. En educación inicial hay una disminución en la atención debido a dos factores uno derivado de la problemática de la pandemia y el otro a que se estaba atendiendo en los centros de atención infantil población de preescolar como un beneficio para las madres trabajadoras de SEECH, pero a raíz de la reforma del art.3° Constitucional con la declaración de la educación inicial como obligatoria, se buscó rescatar estos espacios para la población de inicial. En el nivel de educación preescolar también afectó la problemática de la pandemia, lo cual se puede observar en el porcentaje de atención que todavía se encuentra por debajo de los ciclos anteriores.</w:t>
      </w:r>
    </w:p>
    <w:tbl>
      <w:tblPr>
        <w:tblW w:w="10663" w:type="dxa"/>
        <w:tblInd w:w="-774" w:type="dxa"/>
        <w:tblCellMar>
          <w:left w:w="70" w:type="dxa"/>
          <w:right w:w="70" w:type="dxa"/>
        </w:tblCellMar>
        <w:tblLook w:val="04A0" w:firstRow="1" w:lastRow="0" w:firstColumn="1" w:lastColumn="0" w:noHBand="0" w:noVBand="1"/>
      </w:tblPr>
      <w:tblGrid>
        <w:gridCol w:w="1253"/>
        <w:gridCol w:w="1061"/>
        <w:gridCol w:w="985"/>
        <w:gridCol w:w="620"/>
        <w:gridCol w:w="985"/>
        <w:gridCol w:w="701"/>
        <w:gridCol w:w="985"/>
        <w:gridCol w:w="701"/>
        <w:gridCol w:w="985"/>
        <w:gridCol w:w="701"/>
        <w:gridCol w:w="985"/>
        <w:gridCol w:w="701"/>
      </w:tblGrid>
      <w:tr>
        <w:trPr>
          <w:trHeight w:val="264"/>
        </w:trPr>
        <w:tc>
          <w:tcPr>
            <w:tcW w:w="10663" w:type="dxa"/>
            <w:gridSpan w:val="12"/>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MATRICULA DE NIÑAS Y NIÑOS CON EDADES DE 6 A 11 AÑOS</w:t>
            </w:r>
          </w:p>
        </w:tc>
      </w:tr>
      <w:tr>
        <w:trPr>
          <w:trHeight w:val="378"/>
        </w:trPr>
        <w:tc>
          <w:tcPr>
            <w:tcW w:w="1253"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6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rPr>
          <w:trHeight w:val="277"/>
        </w:trPr>
        <w:tc>
          <w:tcPr>
            <w:tcW w:w="1253"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Primaria</w:t>
            </w: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302,991</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0.6183</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293,633</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71.98%</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281,009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71.21%</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279,999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71.53%</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277,866</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71.54%</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107,405</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0.2192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100,540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24.65%</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93,487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23.69%</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92,449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23.62%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90,118</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23.20%</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2,947</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0.006</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3,150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2,036</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2,939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0.75%</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2,260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0.58%</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28,812</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0.0588</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32,371</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7.94%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34,080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8.64%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35,877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9.17%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37,571</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9.67%</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442155</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0.9023</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429,694</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105.34%</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410,612</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104.05%</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411,264</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105.06%</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407,815</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104.99%</w:t>
            </w:r>
          </w:p>
        </w:tc>
      </w:tr>
      <w:tr>
        <w:trPr>
          <w:trHeight w:val="277"/>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47,871</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9.77%</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-21,767</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-5.34%</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-15,989</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-4.05%</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-19,822</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-5.06%</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-19,391</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-4.99%</w:t>
            </w:r>
          </w:p>
        </w:tc>
      </w:tr>
      <w:tr>
        <w:trPr>
          <w:trHeight w:val="264"/>
        </w:trPr>
        <w:tc>
          <w:tcPr>
            <w:tcW w:w="1253"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6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rPr>
          <w:trHeight w:val="264"/>
        </w:trPr>
        <w:tc>
          <w:tcPr>
            <w:tcW w:w="2314"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490,026</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407,927</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394,623</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391,442</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388,424</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251"/>
        </w:trPr>
        <w:tc>
          <w:tcPr>
            <w:tcW w:w="1253"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lang w:val="es-MX" w:eastAsia="es-MX"/>
              </w:rPr>
            </w:pPr>
          </w:p>
        </w:tc>
        <w:tc>
          <w:tcPr>
            <w:tcW w:w="106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p>
            <w:pPr>
              <w:spacing w:after="0" w:line="240" w:lineRule="auto"/>
              <w:rPr>
                <w:rFonts w:ascii="Times New Roman" w:eastAsia="Times New Roman" w:hAnsi="Times New Roman" w:cs="Times New Roman"/>
                <w:sz w:val="20"/>
                <w:szCs w:val="20"/>
                <w:lang w:val="es-MX" w:eastAsia="es-MX"/>
              </w:rPr>
            </w:pPr>
          </w:p>
          <w:p>
            <w:pPr>
              <w:spacing w:after="0" w:line="240" w:lineRule="auto"/>
              <w:rPr>
                <w:rFonts w:ascii="Times New Roman" w:eastAsia="Times New Roman" w:hAnsi="Times New Roman" w:cs="Times New Roman"/>
                <w:sz w:val="20"/>
                <w:szCs w:val="20"/>
                <w:lang w:val="es-MX" w:eastAsia="es-MX"/>
              </w:rPr>
            </w:pPr>
          </w:p>
        </w:tc>
        <w:tc>
          <w:tcPr>
            <w:tcW w:w="6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264"/>
        </w:trPr>
        <w:tc>
          <w:tcPr>
            <w:tcW w:w="10663" w:type="dxa"/>
            <w:gridSpan w:val="12"/>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MATRICULA DE ADOLESCENTES CON EDADES DE 12 A 14 AÑOS</w:t>
            </w:r>
          </w:p>
        </w:tc>
      </w:tr>
      <w:tr>
        <w:trPr>
          <w:trHeight w:val="378"/>
        </w:trPr>
        <w:tc>
          <w:tcPr>
            <w:tcW w:w="1253"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6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rPr>
          <w:trHeight w:val="289"/>
        </w:trPr>
        <w:tc>
          <w:tcPr>
            <w:tcW w:w="1253"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Secundaria</w:t>
            </w: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121,534</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59.60%</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130,332</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63.88%</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131,788</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65.24%</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132,139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65.79%</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126,219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63.25%</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44,998</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22.07%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46,484</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22.78%</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44,593</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22.07%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44,896</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22.35%</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42,950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21.52%</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0</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0.00%</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1,272</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0.62%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1,139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0.56%</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1,081</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1,447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0.73%</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10,489</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12,777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6.26%</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14,184</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7.02%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14,419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7.18%</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14,737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7.39%</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177,021</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86.82%</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190,865</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93.54%</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191,704</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94.90%</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192,535</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95.86%</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185,353</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92.89%</w:t>
            </w:r>
          </w:p>
        </w:tc>
      </w:tr>
      <w:tr>
        <w:trPr>
          <w:trHeight w:val="277"/>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26,879</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13.18%</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13,175</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6.46%</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10,307</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5.10%</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8,308</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4.14%</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14,198</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7.11%</w:t>
            </w:r>
          </w:p>
        </w:tc>
      </w:tr>
      <w:tr>
        <w:trPr>
          <w:trHeight w:val="264"/>
        </w:trPr>
        <w:tc>
          <w:tcPr>
            <w:tcW w:w="1253"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6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rPr>
          <w:trHeight w:val="264"/>
        </w:trPr>
        <w:tc>
          <w:tcPr>
            <w:tcW w:w="2314"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203,900</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204,040</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202,011</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200,843</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199,551</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bl>
    <w:p>
      <w:pPr>
        <w:shd w:val="clear" w:color="auto" w:fill="FFFFFF"/>
        <w:spacing w:after="240"/>
        <w:ind w:left="-567"/>
        <w:rPr>
          <w:rFonts w:ascii="Arial" w:eastAsia="Times New Roman" w:hAnsi="Arial" w:cs="Arial"/>
          <w:color w:val="222222"/>
          <w:sz w:val="16"/>
          <w:szCs w:val="16"/>
          <w:lang w:val="es-ES" w:eastAsia="es-MX"/>
        </w:rPr>
      </w:pPr>
      <w:r>
        <w:rPr>
          <w:rFonts w:ascii="Arial" w:eastAsia="Times New Roman" w:hAnsi="Arial" w:cs="Arial"/>
          <w:color w:val="222222"/>
          <w:sz w:val="16"/>
          <w:szCs w:val="16"/>
          <w:lang w:val="es-ES" w:eastAsia="es-MX"/>
        </w:rPr>
        <w:t xml:space="preserve">Fuente: SEECH, estadística para </w:t>
      </w:r>
      <w:proofErr w:type="spellStart"/>
      <w:r>
        <w:rPr>
          <w:rFonts w:ascii="Arial" w:eastAsia="Times New Roman" w:hAnsi="Arial" w:cs="Arial"/>
          <w:color w:val="222222"/>
          <w:sz w:val="16"/>
          <w:szCs w:val="16"/>
          <w:lang w:val="es-ES" w:eastAsia="es-MX"/>
        </w:rPr>
        <w:t>PbR</w:t>
      </w:r>
      <w:proofErr w:type="spellEnd"/>
      <w:r>
        <w:rPr>
          <w:rFonts w:ascii="Arial" w:eastAsia="Times New Roman" w:hAnsi="Arial" w:cs="Arial"/>
          <w:color w:val="222222"/>
          <w:sz w:val="16"/>
          <w:szCs w:val="16"/>
          <w:lang w:val="es-ES" w:eastAsia="es-MX"/>
        </w:rPr>
        <w:t xml:space="preserve"> 2011, 2016, 2021, 2022, 2023</w:t>
      </w:r>
    </w:p>
    <w:p>
      <w:pPr>
        <w:shd w:val="clear" w:color="auto" w:fill="FFFFFF"/>
        <w:spacing w:after="240"/>
        <w:ind w:left="-567" w:right="-801"/>
        <w:jc w:val="both"/>
        <w:rPr>
          <w:rFonts w:ascii="Arial" w:eastAsia="Times New Roman" w:hAnsi="Arial" w:cs="Arial"/>
          <w:color w:val="222222"/>
          <w:lang w:eastAsia="es-MX"/>
        </w:rPr>
      </w:pPr>
      <w:r>
        <w:rPr>
          <w:rFonts w:ascii="Arial" w:eastAsia="Times New Roman" w:hAnsi="Arial" w:cs="Arial"/>
          <w:color w:val="222222"/>
          <w:lang w:eastAsia="es-MX"/>
        </w:rPr>
        <w:t xml:space="preserve">En cuanto al nivel de primaria, puede observarse también una tendencia de disminución en la población del rango de edad que requiere el servicio educativo. En cuanto a la atención se ha mostrado un incremento desde el ciclo del 2010-2011 al ciclo 2022-2023, durante el ciclo 2020-2021 hubo un ligero descenso debido básicamente a la pandemia, el cual ya se ha ido recuperando.  </w:t>
      </w:r>
    </w:p>
    <w:p>
      <w:pPr>
        <w:shd w:val="clear" w:color="auto" w:fill="FFFFFF"/>
        <w:spacing w:after="240"/>
        <w:ind w:left="-567" w:right="-801"/>
        <w:jc w:val="both"/>
        <w:rPr>
          <w:rFonts w:ascii="Arial" w:eastAsia="Times New Roman" w:hAnsi="Arial" w:cs="Arial"/>
          <w:color w:val="222222"/>
          <w:lang w:eastAsia="es-MX"/>
        </w:rPr>
      </w:pPr>
      <w:r>
        <w:rPr>
          <w:rFonts w:ascii="Arial" w:eastAsia="Times New Roman" w:hAnsi="Arial" w:cs="Arial"/>
          <w:color w:val="222222"/>
          <w:lang w:eastAsia="es-MX"/>
        </w:rPr>
        <w:t>En el nivel de secundaria a partir del 2016 se observa un descenso en la población del rango 12 a 14 años y en cuanto a la atención esta se ha mantenido en ascenso hasta el ciclo 2022-2023, donde se presentó un descenso del 5%.</w:t>
      </w:r>
    </w:p>
    <w:p>
      <w:pPr>
        <w:shd w:val="clear" w:color="auto" w:fill="FFFFFF"/>
        <w:spacing w:after="240"/>
        <w:ind w:left="-567" w:right="-801"/>
        <w:jc w:val="both"/>
        <w:rPr>
          <w:rFonts w:ascii="Arial" w:hAnsi="Arial" w:cs="Arial"/>
          <w:iCs/>
          <w:color w:val="0D0D0D" w:themeColor="text1" w:themeTint="F2"/>
        </w:rPr>
      </w:pPr>
    </w:p>
    <w:p>
      <w:pPr>
        <w:spacing w:line="276" w:lineRule="auto"/>
        <w:ind w:left="-567" w:right="-801"/>
        <w:jc w:val="both"/>
        <w:rPr>
          <w:rFonts w:ascii="Arial" w:hAnsi="Arial" w:cs="Arial"/>
          <w:iCs/>
          <w:color w:val="0D0D0D" w:themeColor="text1" w:themeTint="F2"/>
          <w:lang w:val="es-MX"/>
        </w:rPr>
      </w:pPr>
    </w:p>
    <w:p>
      <w:pPr>
        <w:pStyle w:val="Ttulo2"/>
        <w:numPr>
          <w:ilvl w:val="1"/>
          <w:numId w:val="118"/>
        </w:numPr>
        <w:ind w:left="-567" w:right="-801" w:firstLine="0"/>
        <w:rPr>
          <w:rFonts w:ascii="Arial" w:hAnsi="Arial" w:cs="Arial"/>
        </w:rPr>
      </w:pPr>
      <w:bookmarkStart w:id="16" w:name="_Toc121749427"/>
      <w:r>
        <w:rPr>
          <w:rFonts w:ascii="Arial" w:hAnsi="Arial" w:cs="Arial"/>
        </w:rPr>
        <w:lastRenderedPageBreak/>
        <w:t>Experiencias de atención</w:t>
      </w:r>
      <w:bookmarkEnd w:id="16"/>
    </w:p>
    <w:p>
      <w:pPr>
        <w:spacing w:line="276" w:lineRule="auto"/>
        <w:ind w:left="-567" w:right="-801"/>
        <w:jc w:val="both"/>
        <w:rPr>
          <w:rFonts w:ascii="Arial" w:hAnsi="Arial" w:cs="Arial"/>
          <w:color w:val="0D0D0D" w:themeColor="text1" w:themeTint="F2"/>
          <w:lang w:val="es-MX" w:eastAsia="es-AR"/>
        </w:rPr>
      </w:pPr>
      <w:r>
        <w:rPr>
          <w:rFonts w:ascii="Arial" w:hAnsi="Arial" w:cs="Arial"/>
          <w:color w:val="0D0D0D" w:themeColor="text1" w:themeTint="F2"/>
          <w:lang w:val="es-MX" w:eastAsia="es-AR"/>
        </w:rPr>
        <w:t xml:space="preserve">Al respecto, no se detectaron casos en que haya objetivos similares entre el </w:t>
      </w:r>
      <w:proofErr w:type="spellStart"/>
      <w:r>
        <w:rPr>
          <w:rFonts w:ascii="Arial" w:hAnsi="Arial" w:cs="Arial"/>
          <w:color w:val="0D0D0D" w:themeColor="text1" w:themeTint="F2"/>
          <w:lang w:val="es-MX" w:eastAsia="es-AR"/>
        </w:rPr>
        <w:t>Pp</w:t>
      </w:r>
      <w:proofErr w:type="spellEnd"/>
      <w:r>
        <w:rPr>
          <w:rFonts w:ascii="Arial" w:hAnsi="Arial" w:cs="Arial"/>
          <w:color w:val="0D0D0D" w:themeColor="text1" w:themeTint="F2"/>
          <w:lang w:val="es-MX" w:eastAsia="es-AR"/>
        </w:rPr>
        <w:t xml:space="preserve"> 2E208C1 y algún otro programa presupuestario, ni que existan componentes similares o iguales en otros programas. Tampoco se identificó que exista otro programa que atienda a la misma población.</w:t>
      </w:r>
    </w:p>
    <w:p>
      <w:pPr>
        <w:spacing w:line="276" w:lineRule="auto"/>
        <w:ind w:left="-567" w:right="-801"/>
        <w:jc w:val="both"/>
        <w:rPr>
          <w:rFonts w:ascii="Arial" w:hAnsi="Arial" w:cs="Arial"/>
          <w:b/>
          <w:lang w:val="es-MX" w:eastAsia="es-AR"/>
        </w:rPr>
      </w:pPr>
    </w:p>
    <w:p>
      <w:pPr>
        <w:pStyle w:val="Ttulo2"/>
        <w:numPr>
          <w:ilvl w:val="1"/>
          <w:numId w:val="118"/>
        </w:numPr>
        <w:ind w:left="-567" w:right="-801" w:firstLine="0"/>
        <w:rPr>
          <w:rFonts w:ascii="Arial" w:hAnsi="Arial" w:cs="Arial"/>
        </w:rPr>
      </w:pPr>
      <w:bookmarkStart w:id="17" w:name="_Toc121749428"/>
      <w:r>
        <w:rPr>
          <w:rFonts w:ascii="Arial" w:hAnsi="Arial" w:cs="Arial"/>
        </w:rPr>
        <w:t>Árbol del problema</w:t>
      </w:r>
      <w:bookmarkEnd w:id="17"/>
    </w:p>
    <w:p>
      <w:pPr>
        <w:ind w:left="-567" w:right="-801"/>
        <w:jc w:val="center"/>
        <w:rPr>
          <w:rFonts w:ascii="Arial" w:hAnsi="Arial" w:cs="Arial"/>
          <w:lang w:val="es-MX" w:eastAsia="zh-CN"/>
        </w:rPr>
      </w:pPr>
      <w:r>
        <w:rPr>
          <w:noProof/>
          <w:lang w:val="en-US"/>
        </w:rPr>
        <w:drawing>
          <wp:inline distT="0" distB="0" distL="0" distR="0">
            <wp:extent cx="5543550" cy="5711022"/>
            <wp:effectExtent l="19050" t="19050" r="19050" b="2349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5609"/>
                    <a:stretch/>
                  </pic:blipFill>
                  <pic:spPr bwMode="auto">
                    <a:xfrm>
                      <a:off x="0" y="0"/>
                      <a:ext cx="5555802" cy="5723644"/>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p>
    <w:p>
      <w:pPr>
        <w:pStyle w:val="Ttulo2"/>
        <w:ind w:left="-567"/>
        <w:rPr>
          <w:rFonts w:ascii="Arial" w:hAnsi="Arial" w:cs="Arial"/>
          <w:sz w:val="22"/>
          <w:szCs w:val="22"/>
        </w:rPr>
      </w:pPr>
      <w:bookmarkStart w:id="18" w:name="_Toc121226051"/>
      <w:bookmarkStart w:id="19" w:name="_Toc121749429"/>
      <w:r>
        <w:rPr>
          <w:rFonts w:ascii="Arial" w:hAnsi="Arial" w:cs="Arial"/>
          <w:sz w:val="22"/>
          <w:szCs w:val="22"/>
        </w:rPr>
        <w:t>2.5.1 Causas del Problema:</w:t>
      </w:r>
      <w:bookmarkEnd w:id="18"/>
      <w:bookmarkEnd w:id="19"/>
    </w:p>
    <w:p>
      <w:pPr>
        <w:pStyle w:val="Prrafodelista"/>
        <w:numPr>
          <w:ilvl w:val="0"/>
          <w:numId w:val="121"/>
        </w:numPr>
        <w:spacing w:line="276" w:lineRule="auto"/>
        <w:ind w:left="-142" w:right="-801"/>
        <w:rPr>
          <w:rFonts w:cs="Arial"/>
          <w:lang w:eastAsia="es-AR"/>
        </w:rPr>
      </w:pPr>
      <w:r>
        <w:rPr>
          <w:rFonts w:cs="Arial"/>
          <w:lang w:val="es-ES_tradnl" w:eastAsia="es-AR"/>
        </w:rPr>
        <w:t>Entrega extemporánea de los libros de texto para las y los alumnos de educación básica.</w:t>
      </w:r>
    </w:p>
    <w:p>
      <w:pPr>
        <w:pStyle w:val="Prrafodelista"/>
        <w:numPr>
          <w:ilvl w:val="0"/>
          <w:numId w:val="121"/>
        </w:numPr>
        <w:spacing w:line="276" w:lineRule="auto"/>
        <w:ind w:left="-142" w:right="-801"/>
        <w:rPr>
          <w:rFonts w:cs="Arial"/>
          <w:lang w:eastAsia="es-AR"/>
        </w:rPr>
      </w:pPr>
      <w:r>
        <w:rPr>
          <w:rFonts w:cs="Arial"/>
          <w:lang w:eastAsia="es-AR"/>
        </w:rPr>
        <w:t>Adquisición de los libros para las y los alumnos a destiempo.</w:t>
      </w:r>
    </w:p>
    <w:p>
      <w:pPr>
        <w:pStyle w:val="Prrafodelista"/>
        <w:numPr>
          <w:ilvl w:val="0"/>
          <w:numId w:val="121"/>
        </w:numPr>
        <w:spacing w:line="276" w:lineRule="auto"/>
        <w:ind w:left="-142" w:right="-801"/>
        <w:rPr>
          <w:rFonts w:cs="Arial"/>
          <w:lang w:eastAsia="es-AR"/>
        </w:rPr>
      </w:pPr>
      <w:r>
        <w:rPr>
          <w:rFonts w:cs="Arial"/>
          <w:lang w:eastAsia="es-AR"/>
        </w:rPr>
        <w:t xml:space="preserve">Las escuelas de educación básica presentan una infraestructura y </w:t>
      </w:r>
      <w:r>
        <w:rPr>
          <w:rFonts w:cs="Arial"/>
          <w:lang w:val="es-ES_tradnl" w:eastAsia="es-AR"/>
        </w:rPr>
        <w:t>conectividad deficiente.</w:t>
      </w:r>
    </w:p>
    <w:p>
      <w:pPr>
        <w:pStyle w:val="Prrafodelista"/>
        <w:numPr>
          <w:ilvl w:val="0"/>
          <w:numId w:val="121"/>
        </w:numPr>
        <w:spacing w:line="276" w:lineRule="auto"/>
        <w:ind w:left="-142" w:right="-801"/>
        <w:rPr>
          <w:rFonts w:cs="Arial"/>
          <w:lang w:eastAsia="es-AR"/>
        </w:rPr>
      </w:pPr>
      <w:r>
        <w:rPr>
          <w:rFonts w:cs="Arial"/>
          <w:lang w:eastAsia="es-AR"/>
        </w:rPr>
        <w:lastRenderedPageBreak/>
        <w:t>Escaso mantenimiento para las escuelas de educación básica.</w:t>
      </w:r>
    </w:p>
    <w:p>
      <w:pPr>
        <w:pStyle w:val="Prrafodelista"/>
        <w:numPr>
          <w:ilvl w:val="0"/>
          <w:numId w:val="121"/>
        </w:numPr>
        <w:spacing w:line="276" w:lineRule="auto"/>
        <w:ind w:left="-142" w:right="-801"/>
        <w:rPr>
          <w:rFonts w:cs="Arial"/>
          <w:lang w:eastAsia="es-AR"/>
        </w:rPr>
      </w:pPr>
      <w:r>
        <w:rPr>
          <w:rFonts w:cs="Arial"/>
          <w:lang w:eastAsia="es-AR"/>
        </w:rPr>
        <w:t>Insuficiente soporte técnico en los planteles de educación básica.</w:t>
      </w:r>
    </w:p>
    <w:p>
      <w:pPr>
        <w:pStyle w:val="Prrafodelista"/>
        <w:numPr>
          <w:ilvl w:val="0"/>
          <w:numId w:val="121"/>
        </w:numPr>
        <w:spacing w:line="276" w:lineRule="auto"/>
        <w:ind w:left="-142" w:right="-801"/>
        <w:rPr>
          <w:rFonts w:cs="Arial"/>
          <w:lang w:eastAsia="es-AR"/>
        </w:rPr>
      </w:pPr>
      <w:r>
        <w:rPr>
          <w:rFonts w:cs="Arial"/>
          <w:lang w:eastAsia="es-AR"/>
        </w:rPr>
        <w:t>Regiones de difícil acceso.</w:t>
      </w:r>
    </w:p>
    <w:p>
      <w:pPr>
        <w:pStyle w:val="Prrafodelista"/>
        <w:numPr>
          <w:ilvl w:val="0"/>
          <w:numId w:val="121"/>
        </w:numPr>
        <w:spacing w:line="276" w:lineRule="auto"/>
        <w:ind w:left="-142" w:right="-801"/>
        <w:rPr>
          <w:rFonts w:cs="Arial"/>
          <w:lang w:eastAsia="es-AR"/>
        </w:rPr>
      </w:pPr>
      <w:r>
        <w:rPr>
          <w:rFonts w:cs="Arial"/>
          <w:lang w:eastAsia="es-AR"/>
        </w:rPr>
        <w:t>P</w:t>
      </w:r>
      <w:r>
        <w:rPr>
          <w:rFonts w:cs="Arial"/>
          <w:bCs/>
          <w:lang w:eastAsia="es-AR"/>
        </w:rPr>
        <w:t>oco involucramiento de los padres, madres y sectores de la sociedad en la educación básica.</w:t>
      </w:r>
    </w:p>
    <w:p>
      <w:pPr>
        <w:pStyle w:val="Prrafodelista"/>
        <w:numPr>
          <w:ilvl w:val="0"/>
          <w:numId w:val="121"/>
        </w:numPr>
        <w:spacing w:line="276" w:lineRule="auto"/>
        <w:ind w:left="-142" w:right="-801"/>
        <w:rPr>
          <w:rFonts w:cs="Arial"/>
          <w:lang w:eastAsia="es-AR"/>
        </w:rPr>
      </w:pPr>
      <w:r>
        <w:rPr>
          <w:rFonts w:cs="Arial"/>
          <w:lang w:eastAsia="es-AR"/>
        </w:rPr>
        <w:t>Incremento en las problemáticas presentadas en el uso de los fondos para el mejoramiento de los centros escolares.</w:t>
      </w:r>
    </w:p>
    <w:p>
      <w:pPr>
        <w:pStyle w:val="Prrafodelista"/>
        <w:numPr>
          <w:ilvl w:val="0"/>
          <w:numId w:val="121"/>
        </w:numPr>
        <w:spacing w:line="276" w:lineRule="auto"/>
        <w:ind w:left="-142" w:right="-801"/>
        <w:rPr>
          <w:rFonts w:cs="Arial"/>
          <w:lang w:eastAsia="es-AR"/>
        </w:rPr>
      </w:pPr>
      <w:r>
        <w:rPr>
          <w:rFonts w:cs="Arial"/>
          <w:lang w:eastAsia="es-AR"/>
        </w:rPr>
        <w:t>Poca participación de los sectores de la sociedad en los aspectos pedagógicos y administrativos de los centros escolares.</w:t>
      </w:r>
    </w:p>
    <w:p>
      <w:pPr>
        <w:spacing w:line="276" w:lineRule="auto"/>
        <w:ind w:left="-567" w:right="-801"/>
        <w:rPr>
          <w:rFonts w:cs="Arial"/>
          <w:lang w:eastAsia="es-AR"/>
        </w:rPr>
      </w:pPr>
    </w:p>
    <w:p>
      <w:pPr>
        <w:spacing w:line="276" w:lineRule="auto"/>
        <w:ind w:left="-567" w:right="-801"/>
        <w:rPr>
          <w:rFonts w:cs="Arial"/>
          <w:lang w:eastAsia="es-AR"/>
        </w:rPr>
      </w:pPr>
    </w:p>
    <w:p>
      <w:pPr>
        <w:pStyle w:val="Ttulo1"/>
        <w:numPr>
          <w:ilvl w:val="0"/>
          <w:numId w:val="118"/>
        </w:numPr>
        <w:spacing w:line="276" w:lineRule="auto"/>
        <w:ind w:left="-567" w:right="-801" w:firstLine="0"/>
        <w:rPr>
          <w:rFonts w:ascii="Arial" w:hAnsi="Arial" w:cs="Arial"/>
          <w:i/>
          <w:sz w:val="24"/>
        </w:rPr>
      </w:pPr>
      <w:bookmarkStart w:id="20" w:name="_Toc121749430"/>
      <w:r>
        <w:rPr>
          <w:rFonts w:ascii="Arial" w:hAnsi="Arial" w:cs="Arial"/>
          <w:i/>
          <w:sz w:val="24"/>
          <w:lang w:val="es-MX" w:eastAsia="es-AR"/>
        </w:rPr>
        <w:t>OBJETIVOS</w:t>
      </w:r>
      <w:bookmarkEnd w:id="20"/>
    </w:p>
    <w:p>
      <w:pPr>
        <w:ind w:left="-567" w:right="-801"/>
        <w:rPr>
          <w:rFonts w:ascii="Arial" w:hAnsi="Arial" w:cs="Arial"/>
        </w:rPr>
      </w:pPr>
    </w:p>
    <w:p>
      <w:pPr>
        <w:pStyle w:val="Ttulo2"/>
        <w:numPr>
          <w:ilvl w:val="1"/>
          <w:numId w:val="118"/>
        </w:numPr>
        <w:ind w:left="-567" w:right="-801" w:firstLine="0"/>
        <w:rPr>
          <w:rFonts w:ascii="Arial" w:hAnsi="Arial" w:cs="Arial"/>
        </w:rPr>
      </w:pPr>
      <w:bookmarkStart w:id="21" w:name="_Toc121749431"/>
      <w:r>
        <w:rPr>
          <w:rFonts w:ascii="Arial" w:hAnsi="Arial" w:cs="Arial"/>
        </w:rPr>
        <w:t>Árbol de objetivos</w:t>
      </w:r>
      <w:bookmarkEnd w:id="21"/>
    </w:p>
    <w:p>
      <w:pPr>
        <w:ind w:left="-567" w:right="-801"/>
        <w:jc w:val="both"/>
        <w:rPr>
          <w:lang w:val="es-MX" w:eastAsia="zh-CN"/>
        </w:rPr>
      </w:pPr>
      <w:r>
        <w:rPr>
          <w:rFonts w:ascii="Arial" w:hAnsi="Arial" w:cs="Arial"/>
          <w:lang w:eastAsia="es-AR"/>
        </w:rPr>
        <w:t xml:space="preserve">El programa </w:t>
      </w:r>
      <w:r>
        <w:rPr>
          <w:rFonts w:ascii="Arial" w:hAnsi="Arial" w:cs="Arial"/>
          <w:iCs/>
        </w:rPr>
        <w:t>presupuestario</w:t>
      </w:r>
      <w:r>
        <w:rPr>
          <w:rFonts w:ascii="Arial" w:eastAsia="Times New Roman" w:hAnsi="Arial" w:cs="Arial"/>
          <w:color w:val="222222"/>
          <w:lang w:val="es-MX" w:eastAsia="es-MX"/>
        </w:rPr>
        <w:t xml:space="preserve"> Servicios para la Calidad en Educación Básica 2E208C1 </w:t>
      </w:r>
      <w:r>
        <w:rPr>
          <w:rFonts w:ascii="Arial" w:hAnsi="Arial" w:cs="Arial"/>
          <w:iCs/>
        </w:rPr>
        <w:t xml:space="preserve"> tendrá como principal objetivo el evaluarse a sí mismo, a través de la identificación de las diversas áreas de oportunidad que se están presentando y analizar porque razón se ve entorpecido el impacto que se desea obtener.  Es decir, de nada servirá lograr establecer una justificación sólida, con la planeación de las actividades y los materiales necesarios, si el recurso se ve trucado. Cada uno de los aspectos que son primordiales de detectar para garantizar su éxito, debe de marcar una ruta inequívoca, por este motivo se diseña el siguiente árbol de objetivos en donde quede plasmada la información que esclarecerá las metas por cumplir y los pasos por seguir en un orden gradual.</w:t>
      </w: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rPr>
          <w:rFonts w:ascii="Arial" w:hAnsi="Arial" w:cs="Arial"/>
          <w:lang w:val="es-MX" w:eastAsia="zh-CN"/>
        </w:rPr>
      </w:pPr>
    </w:p>
    <w:p>
      <w:pPr>
        <w:ind w:left="-567" w:right="-801"/>
        <w:jc w:val="center"/>
        <w:rPr>
          <w:rFonts w:ascii="Arial" w:hAnsi="Arial" w:cs="Arial"/>
          <w:lang w:val="es-MX" w:eastAsia="zh-CN"/>
        </w:rPr>
      </w:pPr>
      <w:r>
        <w:rPr>
          <w:noProof/>
          <w:lang w:val="en-US"/>
        </w:rPr>
        <w:drawing>
          <wp:inline distT="0" distB="0" distL="0" distR="0">
            <wp:extent cx="6255828" cy="68220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1265" cy="6838929"/>
                    </a:xfrm>
                    <a:prstGeom prst="rect">
                      <a:avLst/>
                    </a:prstGeom>
                    <a:noFill/>
                    <a:ln>
                      <a:noFill/>
                    </a:ln>
                  </pic:spPr>
                </pic:pic>
              </a:graphicData>
            </a:graphic>
          </wp:inline>
        </w:drawing>
      </w:r>
    </w:p>
    <w:p>
      <w:pPr>
        <w:ind w:left="-567" w:right="-801"/>
        <w:jc w:val="center"/>
        <w:rPr>
          <w:rFonts w:ascii="Arial" w:hAnsi="Arial" w:cs="Arial"/>
          <w:lang w:val="es-MX" w:eastAsia="zh-CN"/>
        </w:rPr>
      </w:pPr>
    </w:p>
    <w:p>
      <w:pPr>
        <w:ind w:left="-567" w:right="-801"/>
        <w:jc w:val="center"/>
        <w:rPr>
          <w:rFonts w:ascii="Arial" w:hAnsi="Arial" w:cs="Arial"/>
          <w:lang w:val="es-MX" w:eastAsia="zh-CN"/>
        </w:rPr>
      </w:pPr>
    </w:p>
    <w:p>
      <w:pPr>
        <w:pStyle w:val="Ttulo2"/>
        <w:numPr>
          <w:ilvl w:val="1"/>
          <w:numId w:val="118"/>
        </w:numPr>
        <w:ind w:left="-567" w:right="-801" w:firstLine="0"/>
        <w:rPr>
          <w:rFonts w:ascii="Arial" w:hAnsi="Arial" w:cs="Arial"/>
        </w:rPr>
      </w:pPr>
      <w:bookmarkStart w:id="22" w:name="_Toc121749432"/>
      <w:r>
        <w:rPr>
          <w:rFonts w:ascii="Arial" w:hAnsi="Arial" w:cs="Arial"/>
        </w:rPr>
        <w:lastRenderedPageBreak/>
        <w:t>Determinación de los objetivos del problema</w:t>
      </w:r>
      <w:bookmarkEnd w:id="22"/>
      <w:r>
        <w:rPr>
          <w:rFonts w:ascii="Arial" w:hAnsi="Arial" w:cs="Arial"/>
        </w:rPr>
        <w:t xml:space="preserve"> </w:t>
      </w:r>
    </w:p>
    <w:p>
      <w:pPr>
        <w:spacing w:after="0"/>
        <w:ind w:left="-567" w:right="-801"/>
        <w:rPr>
          <w:sz w:val="2"/>
          <w:lang w:val="es-MX" w:eastAsia="zh-CN"/>
        </w:rPr>
      </w:pPr>
    </w:p>
    <w:p>
      <w:pPr>
        <w:pStyle w:val="Ttulo2"/>
        <w:ind w:left="-284" w:right="-801"/>
        <w:rPr>
          <w:rFonts w:ascii="Arial" w:hAnsi="Arial" w:cs="Arial"/>
        </w:rPr>
      </w:pPr>
      <w:bookmarkStart w:id="23" w:name="_Toc121749433"/>
      <w:r>
        <w:rPr>
          <w:rFonts w:ascii="Arial" w:hAnsi="Arial" w:cs="Arial"/>
        </w:rPr>
        <w:t>3.2.1 Objetivo General</w:t>
      </w:r>
      <w:bookmarkEnd w:id="23"/>
    </w:p>
    <w:p>
      <w:pPr>
        <w:autoSpaceDE w:val="0"/>
        <w:autoSpaceDN w:val="0"/>
        <w:adjustRightInd w:val="0"/>
        <w:spacing w:after="0" w:line="276" w:lineRule="auto"/>
        <w:ind w:left="-567" w:right="-801"/>
        <w:rPr>
          <w:rFonts w:ascii="Arial" w:hAnsi="Arial" w:cs="Arial"/>
          <w:b/>
          <w:bCs/>
          <w:color w:val="0D0D0D" w:themeColor="text1" w:themeTint="F2"/>
          <w:sz w:val="2"/>
          <w:lang w:val="es-MX"/>
        </w:rPr>
      </w:pPr>
    </w:p>
    <w:p>
      <w:pPr>
        <w:autoSpaceDE w:val="0"/>
        <w:autoSpaceDN w:val="0"/>
        <w:adjustRightInd w:val="0"/>
        <w:spacing w:after="0" w:line="276" w:lineRule="auto"/>
        <w:ind w:left="-567" w:right="-801"/>
        <w:jc w:val="both"/>
        <w:rPr>
          <w:rFonts w:ascii="Arial" w:hAnsi="Arial" w:cs="Arial"/>
          <w:bCs/>
          <w:color w:val="0D0D0D" w:themeColor="text1" w:themeTint="F2"/>
          <w:lang w:val="es-MX"/>
        </w:rPr>
      </w:pPr>
      <w:r>
        <w:rPr>
          <w:rFonts w:ascii="Arial" w:hAnsi="Arial" w:cs="Arial"/>
          <w:bCs/>
          <w:color w:val="0D0D0D" w:themeColor="text1" w:themeTint="F2"/>
          <w:lang w:val="es-MX"/>
        </w:rPr>
        <w:t xml:space="preserve">Contribuir a brindar los servicios educativos de calidad a los estudiantes de escuelas del Sistema Educativo Estatal, a través del desarrollo de ambientes escolares que propicien el aprendizaje, la inclusión, equidad y perspectiva de género. </w:t>
      </w:r>
    </w:p>
    <w:p>
      <w:pPr>
        <w:autoSpaceDE w:val="0"/>
        <w:autoSpaceDN w:val="0"/>
        <w:adjustRightInd w:val="0"/>
        <w:spacing w:after="0" w:line="276" w:lineRule="auto"/>
        <w:ind w:left="-567" w:right="-801"/>
        <w:jc w:val="both"/>
        <w:rPr>
          <w:rFonts w:ascii="Arial" w:hAnsi="Arial" w:cs="Arial"/>
          <w:b/>
          <w:bCs/>
          <w:color w:val="0D0D0D" w:themeColor="text1" w:themeTint="F2"/>
          <w:sz w:val="8"/>
          <w:lang w:val="es-MX"/>
        </w:rPr>
      </w:pPr>
    </w:p>
    <w:p>
      <w:pPr>
        <w:pStyle w:val="Ttulo2"/>
        <w:ind w:left="-284" w:right="-801"/>
        <w:rPr>
          <w:rFonts w:ascii="Arial" w:hAnsi="Arial" w:cs="Arial"/>
        </w:rPr>
      </w:pPr>
      <w:bookmarkStart w:id="24" w:name="_Toc121749434"/>
      <w:r>
        <w:rPr>
          <w:rFonts w:ascii="Arial" w:hAnsi="Arial" w:cs="Arial"/>
        </w:rPr>
        <w:t>3.2.2 Objetivos Específicos</w:t>
      </w:r>
      <w:bookmarkEnd w:id="24"/>
    </w:p>
    <w:p>
      <w:pPr>
        <w:autoSpaceDE w:val="0"/>
        <w:autoSpaceDN w:val="0"/>
        <w:adjustRightInd w:val="0"/>
        <w:spacing w:after="0" w:line="276" w:lineRule="auto"/>
        <w:ind w:left="-567" w:right="-801"/>
        <w:jc w:val="both"/>
        <w:rPr>
          <w:rFonts w:ascii="Arial" w:hAnsi="Arial" w:cs="Arial"/>
          <w:bCs/>
          <w:color w:val="0D0D0D" w:themeColor="text1" w:themeTint="F2"/>
          <w:sz w:val="8"/>
          <w:lang w:val="es-MX"/>
        </w:rPr>
      </w:pP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Entrega puntual de los libros de texto para las y los alumnos de educación básica.</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Adquisición de los libros para las y los alumnos en tiempo.</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Las escuelas de educación básica presentan una infraestructura y conectividad eficiente.</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Mayor mantenimiento para las escuelas de educación básica.</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Suficiente soporte técnico en los planteles de educación básica.</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Las escuelas de educación básica tienen mayor involucramiento de los padres, madres y sectores de la sociedad.</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Solventar las problemáticas presentadas en el uso de los fondos para el mejoramiento de los centros escolares.</w:t>
      </w:r>
    </w:p>
    <w:p>
      <w:pPr>
        <w:pStyle w:val="Prrafodelista"/>
        <w:numPr>
          <w:ilvl w:val="0"/>
          <w:numId w:val="120"/>
        </w:numPr>
        <w:autoSpaceDE w:val="0"/>
        <w:autoSpaceDN w:val="0"/>
        <w:adjustRightInd w:val="0"/>
        <w:spacing w:after="0" w:line="276" w:lineRule="auto"/>
        <w:ind w:left="-567" w:right="-801" w:firstLine="0"/>
        <w:rPr>
          <w:rFonts w:cs="Arial"/>
          <w:bCs/>
          <w:color w:val="0D0D0D" w:themeColor="text1" w:themeTint="F2"/>
        </w:rPr>
      </w:pPr>
      <w:r>
        <w:rPr>
          <w:rFonts w:cs="Arial"/>
          <w:bCs/>
          <w:color w:val="0D0D0D" w:themeColor="text1" w:themeTint="F2"/>
        </w:rPr>
        <w:t>Aumento de la participación de los sectores de la sociedad en los aspectos pedagógicos y administrativos de los centros escolares.</w:t>
      </w:r>
    </w:p>
    <w:p>
      <w:pPr>
        <w:autoSpaceDE w:val="0"/>
        <w:autoSpaceDN w:val="0"/>
        <w:adjustRightInd w:val="0"/>
        <w:spacing w:after="0" w:line="276" w:lineRule="auto"/>
        <w:ind w:left="-567" w:right="-801"/>
        <w:contextualSpacing/>
        <w:rPr>
          <w:rFonts w:ascii="Arial" w:hAnsi="Arial" w:cs="Arial"/>
          <w:bCs/>
          <w:color w:val="0D0D0D" w:themeColor="text1" w:themeTint="F2"/>
          <w:lang w:val="es-MX"/>
        </w:rPr>
      </w:pPr>
    </w:p>
    <w:p>
      <w:pPr>
        <w:pStyle w:val="Ttulo2"/>
        <w:numPr>
          <w:ilvl w:val="1"/>
          <w:numId w:val="118"/>
        </w:numPr>
        <w:ind w:left="-567" w:right="-801" w:firstLine="0"/>
        <w:rPr>
          <w:rFonts w:ascii="Arial" w:hAnsi="Arial" w:cs="Arial"/>
        </w:rPr>
      </w:pPr>
      <w:bookmarkStart w:id="25" w:name="_Toc121749435"/>
      <w:r>
        <w:rPr>
          <w:rFonts w:ascii="Arial" w:hAnsi="Arial" w:cs="Arial"/>
        </w:rPr>
        <w:t>Aportación del programa a los objetivos del Plan Estatal de Desarrollo, así como, Plan Nacional de Desarrollo, y finalmente a los Objetivos de Desarrollo Sostenible (Agenda 2030)</w:t>
      </w:r>
      <w:bookmarkEnd w:id="25"/>
    </w:p>
    <w:p>
      <w:pPr>
        <w:ind w:left="-567" w:right="-801"/>
        <w:jc w:val="both"/>
        <w:rPr>
          <w:rFonts w:ascii="Arial" w:hAnsi="Arial" w:cs="Arial"/>
        </w:rPr>
      </w:pPr>
      <w:r>
        <w:rPr>
          <w:rFonts w:ascii="Arial" w:hAnsi="Arial" w:cs="Arial"/>
        </w:rPr>
        <w:t>Se identifica que el programa está vinculado a objetivos de nivel superior; es decir, la implementación de este programa contribuye parcialmente al cumplimiento de los objetivos de programas y planes superiores como se detalla en el siguiente cuadro.</w:t>
      </w:r>
    </w:p>
    <w:tbl>
      <w:tblPr>
        <w:tblStyle w:val="Tablaconcuadrcula"/>
        <w:tblW w:w="10462" w:type="dxa"/>
        <w:jc w:val="center"/>
        <w:tblLook w:val="04A0" w:firstRow="1" w:lastRow="0" w:firstColumn="1" w:lastColumn="0" w:noHBand="0" w:noVBand="1"/>
      </w:tblPr>
      <w:tblGrid>
        <w:gridCol w:w="1469"/>
        <w:gridCol w:w="3834"/>
        <w:gridCol w:w="3538"/>
        <w:gridCol w:w="1621"/>
      </w:tblGrid>
      <w:tr>
        <w:trPr>
          <w:trHeight w:val="479"/>
          <w:tblHeader/>
          <w:jc w:val="center"/>
        </w:trPr>
        <w:tc>
          <w:tcPr>
            <w:tcW w:w="1469"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 xml:space="preserve">Plan Nacional </w:t>
            </w:r>
          </w:p>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 xml:space="preserve">de Desarrollo </w:t>
            </w:r>
          </w:p>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2019-2024</w:t>
            </w:r>
          </w:p>
        </w:tc>
        <w:tc>
          <w:tcPr>
            <w:tcW w:w="3834" w:type="dxa"/>
            <w:tcBorders>
              <w:top w:val="single" w:sz="4" w:space="0" w:color="auto"/>
              <w:left w:val="single" w:sz="4" w:space="0" w:color="auto"/>
              <w:bottom w:val="single" w:sz="4" w:space="0" w:color="auto"/>
              <w:right w:val="single" w:sz="4" w:space="0" w:color="auto"/>
            </w:tcBorders>
            <w:shd w:val="clear" w:color="auto" w:fill="7030A0"/>
            <w:vAlign w:val="center"/>
          </w:tcPr>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 xml:space="preserve">Plan Estatal </w:t>
            </w:r>
          </w:p>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de Desarrollo 2022 - 2027</w:t>
            </w:r>
          </w:p>
        </w:tc>
        <w:tc>
          <w:tcPr>
            <w:tcW w:w="3538" w:type="dxa"/>
            <w:tcBorders>
              <w:top w:val="single" w:sz="4" w:space="0" w:color="auto"/>
              <w:left w:val="single" w:sz="4" w:space="0" w:color="auto"/>
              <w:bottom w:val="single" w:sz="4" w:space="0" w:color="auto"/>
              <w:right w:val="single" w:sz="4" w:space="0" w:color="auto"/>
            </w:tcBorders>
            <w:shd w:val="clear" w:color="auto" w:fill="7030A0"/>
            <w:vAlign w:val="center"/>
          </w:tcPr>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 xml:space="preserve">Programa Sectorial </w:t>
            </w:r>
          </w:p>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de Educación 2022 - 2027</w:t>
            </w:r>
          </w:p>
        </w:tc>
        <w:tc>
          <w:tcPr>
            <w:tcW w:w="1621"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 xml:space="preserve">Objetivos </w:t>
            </w:r>
          </w:p>
          <w:p>
            <w:pPr>
              <w:pStyle w:val="Prrafodelista"/>
              <w:spacing w:before="0" w:after="0" w:line="276" w:lineRule="auto"/>
              <w:ind w:left="0" w:right="34"/>
              <w:jc w:val="center"/>
              <w:rPr>
                <w:rFonts w:cs="Arial"/>
                <w:b/>
                <w:bCs/>
                <w:color w:val="FFFFFF" w:themeColor="background1"/>
                <w:sz w:val="16"/>
                <w:szCs w:val="16"/>
                <w:lang w:val="es-AR"/>
              </w:rPr>
            </w:pPr>
            <w:r>
              <w:rPr>
                <w:rFonts w:cs="Arial"/>
                <w:b/>
                <w:bCs/>
                <w:color w:val="FFFFFF" w:themeColor="background1"/>
                <w:sz w:val="16"/>
                <w:szCs w:val="16"/>
                <w:lang w:val="es-AR"/>
              </w:rPr>
              <w:t>de Desarrollo Sostenible</w:t>
            </w:r>
          </w:p>
        </w:tc>
      </w:tr>
      <w:tr>
        <w:trPr>
          <w:trHeight w:val="509"/>
          <w:jc w:val="center"/>
        </w:trPr>
        <w:tc>
          <w:tcPr>
            <w:tcW w:w="1469" w:type="dxa"/>
            <w:tcBorders>
              <w:top w:val="single" w:sz="4" w:space="0" w:color="auto"/>
              <w:left w:val="single" w:sz="4" w:space="0" w:color="auto"/>
              <w:bottom w:val="single" w:sz="4" w:space="0" w:color="auto"/>
              <w:right w:val="single" w:sz="4" w:space="0" w:color="auto"/>
            </w:tcBorders>
            <w:vAlign w:val="center"/>
          </w:tcPr>
          <w:p>
            <w:pPr>
              <w:pStyle w:val="Default"/>
              <w:spacing w:line="276" w:lineRule="auto"/>
              <w:ind w:right="34"/>
              <w:rPr>
                <w:rFonts w:ascii="Arial" w:hAnsi="Arial" w:cs="Arial"/>
                <w:b/>
                <w:bCs/>
                <w:color w:val="0D0D0D" w:themeColor="text1" w:themeTint="F2"/>
                <w:sz w:val="20"/>
                <w:szCs w:val="16"/>
                <w:shd w:val="clear" w:color="auto" w:fill="FFFFFF"/>
              </w:rPr>
            </w:pPr>
            <w:r>
              <w:rPr>
                <w:rFonts w:ascii="Arial" w:hAnsi="Arial" w:cs="Arial"/>
                <w:b/>
                <w:bCs/>
                <w:color w:val="0D0D0D" w:themeColor="text1" w:themeTint="F2"/>
                <w:sz w:val="20"/>
                <w:szCs w:val="16"/>
                <w:shd w:val="clear" w:color="auto" w:fill="FFFFFF"/>
              </w:rPr>
              <w:t>2.Política Social</w:t>
            </w:r>
          </w:p>
          <w:p>
            <w:pPr>
              <w:pStyle w:val="Default"/>
              <w:spacing w:line="276" w:lineRule="auto"/>
              <w:ind w:right="34"/>
              <w:rPr>
                <w:rFonts w:ascii="Arial" w:hAnsi="Arial" w:cs="Arial"/>
                <w:b/>
                <w:bCs/>
                <w:color w:val="0D0D0D" w:themeColor="text1" w:themeTint="F2"/>
                <w:sz w:val="20"/>
                <w:szCs w:val="16"/>
              </w:rPr>
            </w:pPr>
            <w:r>
              <w:rPr>
                <w:rFonts w:ascii="Arial" w:hAnsi="Arial" w:cs="Arial"/>
                <w:color w:val="0D0D0D" w:themeColor="text1" w:themeTint="F2"/>
                <w:sz w:val="20"/>
                <w:szCs w:val="16"/>
                <w:shd w:val="clear" w:color="auto" w:fill="FFFFFF"/>
              </w:rPr>
              <w:t>Derecho a la educación</w:t>
            </w:r>
          </w:p>
          <w:p>
            <w:pPr>
              <w:autoSpaceDE w:val="0"/>
              <w:autoSpaceDN w:val="0"/>
              <w:adjustRightInd w:val="0"/>
              <w:spacing w:line="276" w:lineRule="auto"/>
              <w:ind w:right="34"/>
              <w:jc w:val="both"/>
              <w:rPr>
                <w:rFonts w:ascii="Arial" w:hAnsi="Arial" w:cs="Arial"/>
                <w:color w:val="0D0D0D" w:themeColor="text1" w:themeTint="F2"/>
                <w:sz w:val="20"/>
                <w:szCs w:val="16"/>
              </w:rPr>
            </w:pPr>
          </w:p>
        </w:tc>
        <w:tc>
          <w:tcPr>
            <w:tcW w:w="3834" w:type="dxa"/>
            <w:tcBorders>
              <w:top w:val="single" w:sz="4" w:space="0" w:color="auto"/>
              <w:left w:val="single" w:sz="4" w:space="0" w:color="auto"/>
              <w:bottom w:val="single" w:sz="4" w:space="0" w:color="auto"/>
              <w:right w:val="single" w:sz="4" w:space="0" w:color="auto"/>
            </w:tcBorders>
            <w:hideMark/>
          </w:tcPr>
          <w:p>
            <w:pPr>
              <w:pStyle w:val="Default"/>
              <w:spacing w:line="276" w:lineRule="auto"/>
              <w:ind w:right="34"/>
              <w:jc w:val="both"/>
              <w:rPr>
                <w:rFonts w:ascii="Arial" w:hAnsi="Arial" w:cs="Arial"/>
                <w:color w:val="0D0D0D" w:themeColor="text1" w:themeTint="F2"/>
                <w:sz w:val="20"/>
                <w:szCs w:val="16"/>
              </w:rPr>
            </w:pPr>
            <w:r>
              <w:rPr>
                <w:rFonts w:ascii="Arial" w:hAnsi="Arial" w:cs="Arial"/>
                <w:b/>
                <w:bCs/>
                <w:color w:val="0D0D0D" w:themeColor="text1" w:themeTint="F2"/>
                <w:sz w:val="20"/>
                <w:szCs w:val="16"/>
              </w:rPr>
              <w:t>Objetivo 2:</w:t>
            </w:r>
            <w:r>
              <w:rPr>
                <w:rFonts w:ascii="Arial" w:hAnsi="Arial" w:cs="Arial"/>
                <w:color w:val="0D0D0D" w:themeColor="text1" w:themeTint="F2"/>
                <w:sz w:val="20"/>
                <w:szCs w:val="16"/>
              </w:rPr>
              <w:t xml:space="preserve"> Brindar los servicios educativos de calidad a los estudiantes de escuelas del Sistema Educativo Estatal, a través del desarrollo de ambientes escolares que propicien el aprendizaje, la inclusión, equidad y perspectiva de género.</w:t>
            </w:r>
          </w:p>
          <w:p>
            <w:pPr>
              <w:pStyle w:val="Default"/>
              <w:spacing w:line="276" w:lineRule="auto"/>
              <w:ind w:right="34"/>
              <w:jc w:val="both"/>
              <w:rPr>
                <w:rFonts w:ascii="Arial" w:hAnsi="Arial" w:cs="Arial"/>
                <w:color w:val="0D0D0D" w:themeColor="text1" w:themeTint="F2"/>
                <w:sz w:val="20"/>
                <w:szCs w:val="16"/>
              </w:rPr>
            </w:pPr>
            <w:r>
              <w:rPr>
                <w:rFonts w:ascii="Arial" w:hAnsi="Arial" w:cs="Arial"/>
                <w:b/>
                <w:color w:val="0D0D0D" w:themeColor="text1" w:themeTint="F2"/>
                <w:sz w:val="20"/>
                <w:szCs w:val="16"/>
              </w:rPr>
              <w:t xml:space="preserve">Estrategia 4: </w:t>
            </w:r>
            <w:r>
              <w:rPr>
                <w:rFonts w:ascii="Arial" w:hAnsi="Arial" w:cs="Arial"/>
                <w:color w:val="0D0D0D" w:themeColor="text1" w:themeTint="F2"/>
                <w:sz w:val="20"/>
                <w:szCs w:val="16"/>
              </w:rPr>
              <w:t>Mejorar la infraestructura, equipamiento y conectividad en las escuelas del estado.</w:t>
            </w:r>
          </w:p>
          <w:p>
            <w:pPr>
              <w:pStyle w:val="Default"/>
              <w:spacing w:line="276" w:lineRule="auto"/>
              <w:ind w:right="34"/>
              <w:jc w:val="both"/>
              <w:rPr>
                <w:rFonts w:ascii="Arial" w:hAnsi="Arial" w:cs="Arial"/>
                <w:color w:val="0D0D0D" w:themeColor="text1" w:themeTint="F2"/>
                <w:sz w:val="20"/>
                <w:szCs w:val="16"/>
              </w:rPr>
            </w:pPr>
            <w:r>
              <w:rPr>
                <w:rFonts w:ascii="Arial" w:hAnsi="Arial" w:cs="Arial"/>
                <w:b/>
                <w:color w:val="0D0D0D" w:themeColor="text1" w:themeTint="F2"/>
                <w:sz w:val="20"/>
                <w:szCs w:val="16"/>
              </w:rPr>
              <w:t>Línea de acción 2:</w:t>
            </w:r>
            <w:r>
              <w:rPr>
                <w:rFonts w:ascii="Arial" w:hAnsi="Arial" w:cs="Arial"/>
                <w:color w:val="0D0D0D" w:themeColor="text1" w:themeTint="F2"/>
                <w:sz w:val="20"/>
                <w:szCs w:val="16"/>
              </w:rPr>
              <w:t xml:space="preserve"> Dotar de mobiliario, equipo tecnológico y de conectividad en planteles educativos de todos los tipos, modalidades y niveles educativos del Estado.</w:t>
            </w:r>
          </w:p>
        </w:tc>
        <w:tc>
          <w:tcPr>
            <w:tcW w:w="3538" w:type="dxa"/>
            <w:tcBorders>
              <w:top w:val="single" w:sz="4" w:space="0" w:color="auto"/>
              <w:left w:val="single" w:sz="4" w:space="0" w:color="auto"/>
              <w:bottom w:val="single" w:sz="4" w:space="0" w:color="auto"/>
              <w:right w:val="single" w:sz="4" w:space="0" w:color="auto"/>
            </w:tcBorders>
          </w:tcPr>
          <w:p>
            <w:pPr>
              <w:pStyle w:val="Default"/>
              <w:spacing w:line="276" w:lineRule="auto"/>
              <w:ind w:right="34"/>
              <w:jc w:val="both"/>
              <w:rPr>
                <w:rFonts w:ascii="Arial" w:hAnsi="Arial" w:cs="Arial"/>
                <w:b/>
                <w:color w:val="0D0D0D" w:themeColor="text1" w:themeTint="F2"/>
                <w:sz w:val="20"/>
                <w:szCs w:val="16"/>
              </w:rPr>
            </w:pPr>
            <w:r>
              <w:rPr>
                <w:rFonts w:ascii="Arial" w:hAnsi="Arial" w:cs="Arial"/>
                <w:b/>
                <w:color w:val="0D0D0D" w:themeColor="text1" w:themeTint="F2"/>
                <w:sz w:val="20"/>
                <w:szCs w:val="16"/>
              </w:rPr>
              <w:t>Objetivo 2</w:t>
            </w:r>
            <w:r>
              <w:rPr>
                <w:rFonts w:ascii="Arial" w:hAnsi="Arial" w:cs="Arial"/>
                <w:color w:val="0D0D0D" w:themeColor="text1" w:themeTint="F2"/>
                <w:sz w:val="20"/>
                <w:szCs w:val="16"/>
              </w:rPr>
              <w:t>: Fortalecer la calidad de los Servicios Educativos en la entidad para consolidar los Programas Educativos que fomenten los aprendizajes significativos.</w:t>
            </w:r>
            <w:r>
              <w:rPr>
                <w:rFonts w:ascii="Arial" w:hAnsi="Arial" w:cs="Arial"/>
                <w:b/>
                <w:color w:val="0D0D0D" w:themeColor="text1" w:themeTint="F2"/>
                <w:sz w:val="20"/>
                <w:szCs w:val="16"/>
              </w:rPr>
              <w:t xml:space="preserve"> </w:t>
            </w:r>
          </w:p>
          <w:p>
            <w:pPr>
              <w:pStyle w:val="Default"/>
              <w:spacing w:line="276" w:lineRule="auto"/>
              <w:ind w:right="34"/>
              <w:jc w:val="both"/>
              <w:rPr>
                <w:rFonts w:ascii="Arial" w:hAnsi="Arial" w:cs="Arial"/>
                <w:color w:val="0D0D0D" w:themeColor="text1" w:themeTint="F2"/>
                <w:sz w:val="20"/>
                <w:szCs w:val="16"/>
              </w:rPr>
            </w:pPr>
            <w:r>
              <w:rPr>
                <w:rFonts w:ascii="Arial" w:hAnsi="Arial" w:cs="Arial"/>
                <w:b/>
                <w:color w:val="0D0D0D" w:themeColor="text1" w:themeTint="F2"/>
                <w:sz w:val="20"/>
                <w:szCs w:val="16"/>
              </w:rPr>
              <w:t>Estrategia 1</w:t>
            </w:r>
            <w:r>
              <w:rPr>
                <w:rFonts w:ascii="Arial" w:hAnsi="Arial" w:cs="Arial"/>
                <w:color w:val="0D0D0D" w:themeColor="text1" w:themeTint="F2"/>
                <w:sz w:val="20"/>
                <w:szCs w:val="16"/>
              </w:rPr>
              <w:t xml:space="preserve"> Emplear el análisis de los resultados de las evaluaciones e investigaciones del logro educativo en la mejora de los procesos de enseñanza y aprendizaje.</w:t>
            </w:r>
          </w:p>
          <w:p>
            <w:pPr>
              <w:pStyle w:val="Default"/>
              <w:spacing w:line="276" w:lineRule="auto"/>
              <w:ind w:right="34"/>
              <w:jc w:val="both"/>
              <w:rPr>
                <w:rFonts w:ascii="Arial" w:hAnsi="Arial" w:cs="Arial"/>
                <w:b/>
                <w:color w:val="0D0D0D" w:themeColor="text1" w:themeTint="F2"/>
                <w:sz w:val="20"/>
                <w:szCs w:val="16"/>
              </w:rPr>
            </w:pPr>
            <w:r>
              <w:rPr>
                <w:rFonts w:ascii="Arial" w:hAnsi="Arial" w:cs="Arial"/>
                <w:b/>
                <w:color w:val="0D0D0D" w:themeColor="text1" w:themeTint="F2"/>
                <w:sz w:val="20"/>
                <w:szCs w:val="16"/>
              </w:rPr>
              <w:t xml:space="preserve">Línea de acción 1: </w:t>
            </w:r>
            <w:r>
              <w:rPr>
                <w:rFonts w:ascii="Arial" w:hAnsi="Arial" w:cs="Arial"/>
                <w:color w:val="0D0D0D" w:themeColor="text1" w:themeTint="F2"/>
                <w:sz w:val="20"/>
                <w:szCs w:val="16"/>
              </w:rPr>
              <w:t>Desarrollar proyectos escolares pertinentes e inclusivos enfocados al desarrollo de competencias de los estudiantes.</w:t>
            </w:r>
          </w:p>
        </w:tc>
        <w:tc>
          <w:tcPr>
            <w:tcW w:w="162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line="276" w:lineRule="auto"/>
              <w:ind w:right="34"/>
              <w:jc w:val="both"/>
              <w:rPr>
                <w:rFonts w:ascii="Arial" w:hAnsi="Arial" w:cs="Arial"/>
                <w:color w:val="0D0D0D" w:themeColor="text1" w:themeTint="F2"/>
                <w:sz w:val="20"/>
                <w:szCs w:val="16"/>
              </w:rPr>
            </w:pPr>
            <w:r>
              <w:rPr>
                <w:rFonts w:ascii="Arial" w:hAnsi="Arial" w:cs="Arial"/>
                <w:b/>
                <w:color w:val="0D0D0D" w:themeColor="text1" w:themeTint="F2"/>
                <w:sz w:val="20"/>
                <w:szCs w:val="16"/>
              </w:rPr>
              <w:t>OBJETIVO OD04</w:t>
            </w:r>
            <w:r>
              <w:rPr>
                <w:rFonts w:ascii="Arial" w:hAnsi="Arial" w:cs="Arial"/>
                <w:color w:val="0D0D0D" w:themeColor="text1" w:themeTint="F2"/>
                <w:sz w:val="20"/>
                <w:szCs w:val="16"/>
              </w:rPr>
              <w:t>: Garantizar una educación inclusiva, equitativa y de calidad y promover oportunidades de aprendizaje durante toda la vida para todos.</w:t>
            </w:r>
          </w:p>
          <w:p>
            <w:pPr>
              <w:autoSpaceDE w:val="0"/>
              <w:autoSpaceDN w:val="0"/>
              <w:adjustRightInd w:val="0"/>
              <w:spacing w:line="276" w:lineRule="auto"/>
              <w:ind w:right="34"/>
              <w:jc w:val="both"/>
              <w:rPr>
                <w:rFonts w:ascii="Arial" w:hAnsi="Arial" w:cs="Arial"/>
                <w:color w:val="0D0D0D" w:themeColor="text1" w:themeTint="F2"/>
                <w:sz w:val="20"/>
                <w:szCs w:val="16"/>
              </w:rPr>
            </w:pPr>
          </w:p>
        </w:tc>
      </w:tr>
    </w:tbl>
    <w:p>
      <w:pPr>
        <w:shd w:val="clear" w:color="auto" w:fill="FFFFFF"/>
        <w:spacing w:after="240"/>
        <w:ind w:left="-567" w:right="-943"/>
        <w:rPr>
          <w:rFonts w:ascii="Arial" w:eastAsia="Times New Roman" w:hAnsi="Arial" w:cs="Arial"/>
          <w:color w:val="222222"/>
          <w:highlight w:val="yellow"/>
          <w:lang w:eastAsia="es-MX"/>
        </w:rPr>
      </w:pPr>
    </w:p>
    <w:p>
      <w:pPr>
        <w:shd w:val="clear" w:color="auto" w:fill="FFFFFF"/>
        <w:spacing w:after="240"/>
        <w:ind w:left="-567" w:right="-943"/>
        <w:jc w:val="both"/>
        <w:rPr>
          <w:rFonts w:ascii="Arial" w:eastAsia="Times New Roman" w:hAnsi="Arial" w:cs="Arial"/>
          <w:color w:val="222222"/>
          <w:lang w:eastAsia="es-MX"/>
        </w:rPr>
      </w:pPr>
      <w:r>
        <w:rPr>
          <w:rFonts w:ascii="Arial" w:eastAsia="Times New Roman" w:hAnsi="Arial" w:cs="Arial"/>
          <w:color w:val="222222"/>
          <w:lang w:eastAsia="es-MX"/>
        </w:rPr>
        <w:lastRenderedPageBreak/>
        <w:t xml:space="preserve">Por su parte, SEECH establece su misión y visión para la prestación de su servicio de la siguiente manera: </w:t>
      </w:r>
    </w:p>
    <w:p>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 xml:space="preserve">Misión: </w:t>
      </w:r>
      <w:r>
        <w:rPr>
          <w:rFonts w:ascii="Arial" w:hAnsi="Arial" w:cs="Arial"/>
          <w:i/>
          <w:iCs/>
          <w:color w:val="0D0D0D" w:themeColor="text1" w:themeTint="F2"/>
          <w:lang w:val="es-MX"/>
        </w:rPr>
        <w:t xml:space="preserve">“Somos un Organismo público encargado de contribuir y garantizar una educación humanista, con equidad e inclusión, mediante la dirección técnica y administrativa de los centros educativos, que impulse el desarrollo integral de los niños, niñas, adolescentes, jóvenes y adultos en armonía con la sociedad.” </w:t>
      </w:r>
    </w:p>
    <w:p>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 xml:space="preserve">Visión </w:t>
      </w:r>
      <w:r>
        <w:rPr>
          <w:rFonts w:ascii="Arial" w:hAnsi="Arial" w:cs="Arial"/>
          <w:i/>
          <w:iCs/>
          <w:color w:val="0D0D0D" w:themeColor="text1" w:themeTint="F2"/>
          <w:lang w:val="es-MX"/>
        </w:rPr>
        <w:t>“Ser un Organismo administrativo y académico, innovador y excelente, garante del acceso, permanencia y egreso de los estudiantes, con liderazgo en educación básica y formadora de docentes e investigación, transparente, eficaz y eficiente, basado en el trabajo colaborativo para lograr la igualdad de oportunidades acorde al modelo educativo y contribuir a la formación de mejores ciudadanos”.</w:t>
      </w:r>
    </w:p>
    <w:p>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 xml:space="preserve">Se identifica que la misión y visión de SEECH son consistentes con el quehacer del Programa; así como con la problemática que busca solucionar, en la medida en que se busca dar cumplimiento al derecho a la educación básica priorizando a los niños y adolescentes en el Estado. </w:t>
      </w:r>
    </w:p>
    <w:p>
      <w:pPr>
        <w:rPr>
          <w:lang w:val="es-MX"/>
        </w:rPr>
      </w:pPr>
    </w:p>
    <w:p>
      <w:pPr>
        <w:pStyle w:val="Ttulo1"/>
        <w:numPr>
          <w:ilvl w:val="0"/>
          <w:numId w:val="118"/>
        </w:numPr>
        <w:spacing w:line="256" w:lineRule="auto"/>
        <w:ind w:left="-567" w:right="-801" w:hanging="284"/>
        <w:rPr>
          <w:rFonts w:ascii="Arial" w:hAnsi="Arial" w:cs="Arial"/>
          <w:i/>
        </w:rPr>
      </w:pPr>
      <w:bookmarkStart w:id="26" w:name="_Toc121749436"/>
      <w:r>
        <w:rPr>
          <w:rFonts w:ascii="Arial" w:hAnsi="Arial" w:cs="Arial"/>
          <w:i/>
        </w:rPr>
        <w:t>COBERTURA</w:t>
      </w:r>
      <w:bookmarkEnd w:id="26"/>
    </w:p>
    <w:p>
      <w:pPr>
        <w:pStyle w:val="Ttulo2"/>
        <w:numPr>
          <w:ilvl w:val="1"/>
          <w:numId w:val="118"/>
        </w:numPr>
        <w:ind w:left="-567" w:right="-801" w:firstLine="0"/>
        <w:rPr>
          <w:rFonts w:ascii="Arial" w:hAnsi="Arial" w:cs="Arial"/>
        </w:rPr>
      </w:pPr>
      <w:bookmarkStart w:id="27" w:name="_Toc121749437"/>
      <w:r>
        <w:rPr>
          <w:rFonts w:ascii="Arial" w:hAnsi="Arial" w:cs="Arial"/>
        </w:rPr>
        <w:t>Identificación y caracterización de la población o área de enfoque potencial</w:t>
      </w:r>
      <w:bookmarkEnd w:id="27"/>
    </w:p>
    <w:p>
      <w:pPr>
        <w:spacing w:line="276" w:lineRule="auto"/>
        <w:ind w:left="-567" w:right="-801"/>
        <w:rPr>
          <w:rFonts w:ascii="Arial" w:hAnsi="Arial" w:cs="Arial"/>
          <w:b/>
          <w:lang w:eastAsia="es-AR"/>
        </w:rPr>
      </w:pPr>
      <w:r>
        <w:rPr>
          <w:rFonts w:ascii="Arial" w:hAnsi="Arial" w:cs="Arial"/>
        </w:rPr>
        <w:t xml:space="preserve">Una vez definido el problema en apartados anteriores, se identifica que la población que presenta el problema y por el cual se justifica la razón de ser del programa es: </w:t>
      </w:r>
      <w:r>
        <w:rPr>
          <w:rFonts w:ascii="Arial" w:eastAsia="Times New Roman" w:hAnsi="Arial" w:cs="Arial"/>
          <w:color w:val="0D0D0D" w:themeColor="text1" w:themeTint="F2"/>
          <w:lang w:eastAsia="es-MX"/>
        </w:rPr>
        <w:t>Total de escuelas de educación básica federal transferido.</w:t>
      </w:r>
    </w:p>
    <w:p>
      <w:pPr>
        <w:pStyle w:val="Ttulo2"/>
        <w:numPr>
          <w:ilvl w:val="1"/>
          <w:numId w:val="118"/>
        </w:numPr>
        <w:ind w:left="-567" w:right="-801" w:firstLine="0"/>
        <w:rPr>
          <w:rFonts w:ascii="Arial" w:hAnsi="Arial" w:cs="Arial"/>
        </w:rPr>
      </w:pPr>
      <w:bookmarkStart w:id="28" w:name="_Toc121749438"/>
      <w:r>
        <w:rPr>
          <w:rFonts w:ascii="Arial" w:hAnsi="Arial" w:cs="Arial"/>
        </w:rPr>
        <w:t>Identificación y caracterización de la población o área de enfoque objetivo</w:t>
      </w:r>
      <w:bookmarkEnd w:id="28"/>
    </w:p>
    <w:p>
      <w:pPr>
        <w:spacing w:line="276" w:lineRule="auto"/>
        <w:ind w:left="-567" w:right="-801"/>
        <w:jc w:val="both"/>
        <w:rPr>
          <w:rFonts w:eastAsia="Times New Roman" w:cs="Arial"/>
          <w:color w:val="0D0D0D" w:themeColor="text1" w:themeTint="F2"/>
          <w:lang w:eastAsia="es-MX"/>
        </w:rPr>
      </w:pPr>
      <w:r>
        <w:rPr>
          <w:rFonts w:ascii="Arial" w:hAnsi="Arial" w:cs="Arial"/>
        </w:rPr>
        <w:t xml:space="preserve">Dado que la población que presenta el programa son las </w:t>
      </w:r>
      <w:r>
        <w:rPr>
          <w:rFonts w:ascii="Arial" w:eastAsia="Times New Roman" w:hAnsi="Arial" w:cs="Arial"/>
          <w:color w:val="0D0D0D" w:themeColor="text1" w:themeTint="F2"/>
          <w:lang w:eastAsia="es-MX"/>
        </w:rPr>
        <w:t>escuelas de educación básica federal transferido</w:t>
      </w:r>
      <w:r>
        <w:rPr>
          <w:rFonts w:ascii="Arial" w:hAnsi="Arial" w:cs="Arial"/>
        </w:rPr>
        <w:t xml:space="preserve"> y que la mayoría de los recursos para la operación de este provienen del FONE, el cual, con base en sus Lineamientos, define que el recurso del FONE destinado al </w:t>
      </w:r>
      <w:proofErr w:type="spellStart"/>
      <w:r>
        <w:rPr>
          <w:rFonts w:ascii="Arial" w:hAnsi="Arial" w:cs="Arial"/>
        </w:rPr>
        <w:t>Pp</w:t>
      </w:r>
      <w:proofErr w:type="spellEnd"/>
      <w:r>
        <w:rPr>
          <w:rFonts w:ascii="Arial" w:hAnsi="Arial" w:cs="Arial"/>
        </w:rPr>
        <w:t xml:space="preserve"> beneficiará a las escuelas públicas de educación básica que la federación transfiere al estado, la población que se contempla beneficiar coincide con la identificada como población potencial. Por lo anterior, la población objetivo se define como: </w:t>
      </w:r>
      <w:r>
        <w:rPr>
          <w:rFonts w:eastAsia="Times New Roman" w:cs="Arial"/>
          <w:color w:val="0D0D0D" w:themeColor="text1" w:themeTint="F2"/>
          <w:lang w:eastAsia="es-MX"/>
        </w:rPr>
        <w:t>Total de escuelas de educación básica federal transferido.</w:t>
      </w: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pStyle w:val="Prrafodelista"/>
        <w:spacing w:line="276" w:lineRule="auto"/>
        <w:ind w:left="-567" w:right="-801"/>
        <w:rPr>
          <w:rFonts w:eastAsia="Times New Roman" w:cs="Arial"/>
          <w:color w:val="0D0D0D" w:themeColor="text1" w:themeTint="F2"/>
          <w:lang w:eastAsia="es-MX"/>
        </w:rPr>
      </w:pPr>
    </w:p>
    <w:p>
      <w:pPr>
        <w:rPr>
          <w:rFonts w:ascii="Arial" w:eastAsia="Times New Roman" w:hAnsi="Arial" w:cs="Arial"/>
          <w:color w:val="0D0D0D" w:themeColor="text1" w:themeTint="F2"/>
          <w:lang w:val="es-MX" w:eastAsia="es-MX"/>
        </w:rPr>
      </w:pPr>
      <w:r>
        <w:rPr>
          <w:rFonts w:eastAsia="Times New Roman" w:cs="Arial"/>
          <w:color w:val="0D0D0D" w:themeColor="text1" w:themeTint="F2"/>
          <w:lang w:eastAsia="es-MX"/>
        </w:rPr>
        <w:br w:type="page"/>
      </w:r>
    </w:p>
    <w:p>
      <w:pPr>
        <w:pStyle w:val="Prrafodelista"/>
        <w:spacing w:line="276" w:lineRule="auto"/>
        <w:ind w:left="-567" w:right="-801"/>
        <w:rPr>
          <w:rFonts w:eastAsia="Times New Roman" w:cs="Arial"/>
          <w:color w:val="0D0D0D" w:themeColor="text1" w:themeTint="F2"/>
          <w:lang w:eastAsia="es-MX"/>
        </w:rPr>
      </w:pPr>
    </w:p>
    <w:p>
      <w:pPr>
        <w:pStyle w:val="Ttulo2"/>
        <w:numPr>
          <w:ilvl w:val="1"/>
          <w:numId w:val="118"/>
        </w:numPr>
        <w:ind w:left="-567" w:right="-801" w:firstLine="0"/>
        <w:rPr>
          <w:rFonts w:ascii="Arial" w:hAnsi="Arial" w:cs="Arial"/>
        </w:rPr>
      </w:pPr>
      <w:bookmarkStart w:id="29" w:name="_Toc121749439"/>
      <w:r>
        <w:rPr>
          <w:rFonts w:ascii="Arial" w:hAnsi="Arial" w:cs="Arial"/>
        </w:rPr>
        <w:t>Cuantificación de la población o área de enfoque objetivo</w:t>
      </w:r>
      <w:bookmarkEnd w:id="29"/>
      <w:r>
        <w:rPr>
          <w:rFonts w:ascii="Arial" w:hAnsi="Arial" w:cs="Arial"/>
        </w:rPr>
        <w:t xml:space="preserve"> </w:t>
      </w:r>
    </w:p>
    <w:tbl>
      <w:tblPr>
        <w:tblW w:w="10490" w:type="dxa"/>
        <w:tblInd w:w="-567" w:type="dxa"/>
        <w:tblLook w:val="04A0" w:firstRow="1" w:lastRow="0" w:firstColumn="1" w:lastColumn="0" w:noHBand="0" w:noVBand="1"/>
      </w:tblPr>
      <w:tblGrid>
        <w:gridCol w:w="2126"/>
        <w:gridCol w:w="913"/>
        <w:gridCol w:w="450"/>
        <w:gridCol w:w="2890"/>
        <w:gridCol w:w="870"/>
        <w:gridCol w:w="696"/>
        <w:gridCol w:w="870"/>
        <w:gridCol w:w="449"/>
        <w:gridCol w:w="870"/>
        <w:gridCol w:w="356"/>
      </w:tblGrid>
      <w:tr>
        <w:trPr>
          <w:trHeight w:val="294"/>
        </w:trPr>
        <w:tc>
          <w:tcPr>
            <w:tcW w:w="10490" w:type="dxa"/>
            <w:gridSpan w:val="10"/>
            <w:tcBorders>
              <w:top w:val="nil"/>
              <w:left w:val="nil"/>
              <w:bottom w:val="nil"/>
              <w:right w:val="nil"/>
            </w:tcBorders>
            <w:shd w:val="clear" w:color="000000" w:fill="5F249F"/>
            <w:vAlign w:val="center"/>
            <w:hideMark/>
          </w:tcPr>
          <w:p>
            <w:pPr>
              <w:spacing w:after="0" w:line="240" w:lineRule="auto"/>
              <w:jc w:val="center"/>
              <w:rPr>
                <w:rFonts w:ascii="Calibri" w:eastAsia="Times New Roman" w:hAnsi="Calibri" w:cs="Calibri"/>
                <w:b/>
                <w:bCs/>
                <w:color w:val="FFFFFF"/>
                <w:sz w:val="20"/>
                <w:szCs w:val="20"/>
                <w:lang w:val="es-ES"/>
              </w:rPr>
            </w:pPr>
            <w:r>
              <w:rPr>
                <w:rFonts w:ascii="Calibri" w:eastAsia="Times New Roman" w:hAnsi="Calibri" w:cs="Calibri"/>
                <w:b/>
                <w:bCs/>
                <w:color w:val="FFFFFF"/>
                <w:sz w:val="20"/>
                <w:szCs w:val="20"/>
                <w:lang w:val="es-ES"/>
              </w:rPr>
              <w:t>FOCALIZACIÓN DE LA POBLACIÓN OBJETIVO</w:t>
            </w:r>
          </w:p>
        </w:tc>
      </w:tr>
      <w:tr>
        <w:trPr>
          <w:trHeight w:val="226"/>
        </w:trPr>
        <w:tc>
          <w:tcPr>
            <w:tcW w:w="2126"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13"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89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49"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56"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trPr>
          <w:trHeight w:val="237"/>
        </w:trPr>
        <w:tc>
          <w:tcPr>
            <w:tcW w:w="2126" w:type="dxa"/>
            <w:tcBorders>
              <w:top w:val="nil"/>
              <w:left w:val="dotted" w:sz="4" w:space="0" w:color="000000"/>
              <w:bottom w:val="nil"/>
              <w:right w:val="nil"/>
            </w:tcBorders>
            <w:shd w:val="clear" w:color="000000" w:fill="5F249F"/>
            <w:vAlign w:val="center"/>
            <w:hideMark/>
          </w:tcPr>
          <w:p>
            <w:pPr>
              <w:spacing w:after="0" w:line="240" w:lineRule="auto"/>
              <w:jc w:val="center"/>
              <w:rPr>
                <w:rFonts w:ascii="Calibri" w:eastAsia="Times New Roman" w:hAnsi="Calibri" w:cs="Calibri"/>
                <w:b/>
                <w:bCs/>
                <w:color w:val="FFFFFF"/>
                <w:sz w:val="20"/>
                <w:szCs w:val="20"/>
                <w:lang w:val="en-US"/>
              </w:rPr>
            </w:pPr>
            <w:r>
              <w:rPr>
                <w:rFonts w:ascii="Calibri" w:eastAsia="Times New Roman" w:hAnsi="Calibri" w:cs="Calibri"/>
                <w:b/>
                <w:bCs/>
                <w:color w:val="FFFFFF"/>
                <w:sz w:val="20"/>
                <w:szCs w:val="20"/>
                <w:lang w:val="en-US"/>
              </w:rPr>
              <w:t>ENTE PÚBLICO</w:t>
            </w:r>
          </w:p>
        </w:tc>
        <w:tc>
          <w:tcPr>
            <w:tcW w:w="913" w:type="dxa"/>
            <w:tcBorders>
              <w:top w:val="nil"/>
              <w:left w:val="dotted" w:sz="4" w:space="0" w:color="000000"/>
              <w:bottom w:val="dotted" w:sz="4"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401</w:t>
            </w:r>
          </w:p>
        </w:tc>
        <w:tc>
          <w:tcPr>
            <w:tcW w:w="7451" w:type="dxa"/>
            <w:gridSpan w:val="8"/>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20"/>
                <w:szCs w:val="20"/>
                <w:lang w:val="es-ES"/>
              </w:rPr>
            </w:pPr>
            <w:r>
              <w:rPr>
                <w:rFonts w:ascii="Calibri" w:eastAsia="Times New Roman" w:hAnsi="Calibri" w:cs="Calibri"/>
                <w:b/>
                <w:bCs/>
                <w:color w:val="000000"/>
                <w:sz w:val="20"/>
                <w:szCs w:val="20"/>
                <w:lang w:val="es-ES"/>
              </w:rPr>
              <w:t>SERVICIOS EDUCATIVOS DEL ESTADO DE CHIHUAHUA</w:t>
            </w:r>
          </w:p>
        </w:tc>
      </w:tr>
      <w:tr>
        <w:trPr>
          <w:trHeight w:val="96"/>
        </w:trPr>
        <w:tc>
          <w:tcPr>
            <w:tcW w:w="2126"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13"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89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49"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56"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trPr>
          <w:trHeight w:val="237"/>
        </w:trPr>
        <w:tc>
          <w:tcPr>
            <w:tcW w:w="2126" w:type="dxa"/>
            <w:tcBorders>
              <w:top w:val="nil"/>
              <w:left w:val="dotted" w:sz="4" w:space="0" w:color="000000"/>
              <w:bottom w:val="dotted" w:sz="4" w:space="0" w:color="000000"/>
              <w:right w:val="nil"/>
            </w:tcBorders>
            <w:shd w:val="clear" w:color="000000" w:fill="5F249F"/>
            <w:vAlign w:val="center"/>
            <w:hideMark/>
          </w:tcPr>
          <w:p>
            <w:pPr>
              <w:spacing w:after="0" w:line="240" w:lineRule="auto"/>
              <w:jc w:val="center"/>
              <w:rPr>
                <w:rFonts w:ascii="Calibri" w:eastAsia="Times New Roman" w:hAnsi="Calibri" w:cs="Calibri"/>
                <w:b/>
                <w:bCs/>
                <w:color w:val="FFFFFF"/>
                <w:sz w:val="16"/>
                <w:szCs w:val="16"/>
                <w:lang w:val="en-US"/>
              </w:rPr>
            </w:pPr>
            <w:proofErr w:type="spellStart"/>
            <w:r>
              <w:rPr>
                <w:rFonts w:ascii="Calibri" w:eastAsia="Times New Roman" w:hAnsi="Calibri" w:cs="Calibri"/>
                <w:b/>
                <w:bCs/>
                <w:color w:val="FFFFFF"/>
                <w:sz w:val="16"/>
                <w:szCs w:val="16"/>
                <w:lang w:val="en-US"/>
              </w:rPr>
              <w:t>Nombre</w:t>
            </w:r>
            <w:proofErr w:type="spellEnd"/>
            <w:r>
              <w:rPr>
                <w:rFonts w:ascii="Calibri" w:eastAsia="Times New Roman" w:hAnsi="Calibri" w:cs="Calibri"/>
                <w:b/>
                <w:bCs/>
                <w:color w:val="FFFFFF"/>
                <w:sz w:val="16"/>
                <w:szCs w:val="16"/>
                <w:lang w:val="en-US"/>
              </w:rPr>
              <w:t xml:space="preserve"> del </w:t>
            </w:r>
            <w:proofErr w:type="spellStart"/>
            <w:r>
              <w:rPr>
                <w:rFonts w:ascii="Calibri" w:eastAsia="Times New Roman" w:hAnsi="Calibri" w:cs="Calibri"/>
                <w:b/>
                <w:bCs/>
                <w:color w:val="FFFFFF"/>
                <w:sz w:val="16"/>
                <w:szCs w:val="16"/>
                <w:lang w:val="en-US"/>
              </w:rPr>
              <w:t>Programa</w:t>
            </w:r>
            <w:proofErr w:type="spellEnd"/>
          </w:p>
        </w:tc>
        <w:tc>
          <w:tcPr>
            <w:tcW w:w="8364"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16"/>
                <w:szCs w:val="16"/>
                <w:lang w:val="es-ES"/>
              </w:rPr>
            </w:pPr>
            <w:r>
              <w:rPr>
                <w:rFonts w:ascii="Calibri" w:eastAsia="Times New Roman" w:hAnsi="Calibri" w:cs="Calibri"/>
                <w:b/>
                <w:bCs/>
                <w:color w:val="000000"/>
                <w:sz w:val="16"/>
                <w:szCs w:val="16"/>
                <w:lang w:val="es-ES"/>
              </w:rPr>
              <w:t>2E208C1 - SERVICIOS PARA LA CALIDAD EN EDUCACIÓN BÁSICA</w:t>
            </w:r>
          </w:p>
        </w:tc>
      </w:tr>
      <w:tr>
        <w:trPr>
          <w:trHeight w:val="226"/>
        </w:trPr>
        <w:tc>
          <w:tcPr>
            <w:tcW w:w="212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13"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89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49"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5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trPr>
          <w:trHeight w:val="565"/>
        </w:trPr>
        <w:tc>
          <w:tcPr>
            <w:tcW w:w="2126" w:type="dxa"/>
            <w:tcBorders>
              <w:top w:val="nil"/>
              <w:left w:val="dotted" w:sz="4" w:space="0" w:color="000000"/>
              <w:bottom w:val="dotted" w:sz="4" w:space="0" w:color="000000"/>
              <w:right w:val="nil"/>
            </w:tcBorders>
            <w:shd w:val="clear" w:color="000000" w:fill="5F249F"/>
            <w:vAlign w:val="center"/>
            <w:hideMark/>
          </w:tcPr>
          <w:p>
            <w:pPr>
              <w:spacing w:after="0" w:line="240" w:lineRule="auto"/>
              <w:jc w:val="center"/>
              <w:rPr>
                <w:rFonts w:ascii="Calibri" w:eastAsia="Times New Roman" w:hAnsi="Calibri" w:cs="Calibri"/>
                <w:b/>
                <w:bCs/>
                <w:color w:val="FFFFFF"/>
                <w:sz w:val="18"/>
                <w:szCs w:val="18"/>
                <w:lang w:val="en-US"/>
              </w:rPr>
            </w:pPr>
            <w:proofErr w:type="spellStart"/>
            <w:r>
              <w:rPr>
                <w:rFonts w:ascii="Calibri" w:eastAsia="Times New Roman" w:hAnsi="Calibri" w:cs="Calibri"/>
                <w:b/>
                <w:bCs/>
                <w:color w:val="FFFFFF"/>
                <w:sz w:val="18"/>
                <w:szCs w:val="18"/>
                <w:lang w:val="en-US"/>
              </w:rPr>
              <w:t>Definición</w:t>
            </w:r>
            <w:proofErr w:type="spellEnd"/>
            <w:r>
              <w:rPr>
                <w:rFonts w:ascii="Calibri" w:eastAsia="Times New Roman" w:hAnsi="Calibri" w:cs="Calibri"/>
                <w:b/>
                <w:bCs/>
                <w:color w:val="FFFFFF"/>
                <w:sz w:val="18"/>
                <w:szCs w:val="18"/>
                <w:lang w:val="en-US"/>
              </w:rPr>
              <w:t xml:space="preserve"> del </w:t>
            </w:r>
            <w:proofErr w:type="spellStart"/>
            <w:r>
              <w:rPr>
                <w:rFonts w:ascii="Calibri" w:eastAsia="Times New Roman" w:hAnsi="Calibri" w:cs="Calibri"/>
                <w:b/>
                <w:bCs/>
                <w:color w:val="FFFFFF"/>
                <w:sz w:val="18"/>
                <w:szCs w:val="18"/>
                <w:lang w:val="en-US"/>
              </w:rPr>
              <w:t>Programa</w:t>
            </w:r>
            <w:proofErr w:type="spellEnd"/>
          </w:p>
        </w:tc>
        <w:tc>
          <w:tcPr>
            <w:tcW w:w="8364"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18"/>
                <w:szCs w:val="18"/>
                <w:lang w:val="es-ES"/>
              </w:rPr>
            </w:pPr>
            <w:r>
              <w:rPr>
                <w:rFonts w:ascii="Calibri" w:eastAsia="Times New Roman" w:hAnsi="Calibri" w:cs="Calibri"/>
                <w:b/>
                <w:bCs/>
                <w:color w:val="000000"/>
                <w:sz w:val="18"/>
                <w:szCs w:val="18"/>
                <w:lang w:val="es-ES"/>
              </w:rPr>
              <w:t xml:space="preserve">Brindar los </w:t>
            </w:r>
            <w:proofErr w:type="spellStart"/>
            <w:r>
              <w:rPr>
                <w:rFonts w:ascii="Calibri" w:eastAsia="Times New Roman" w:hAnsi="Calibri" w:cs="Calibri"/>
                <w:b/>
                <w:bCs/>
                <w:color w:val="000000"/>
                <w:sz w:val="18"/>
                <w:szCs w:val="18"/>
                <w:lang w:val="es-ES"/>
              </w:rPr>
              <w:t>serviciso</w:t>
            </w:r>
            <w:proofErr w:type="spellEnd"/>
            <w:r>
              <w:rPr>
                <w:rFonts w:ascii="Calibri" w:eastAsia="Times New Roman" w:hAnsi="Calibri" w:cs="Calibri"/>
                <w:b/>
                <w:bCs/>
                <w:color w:val="000000"/>
                <w:sz w:val="18"/>
                <w:szCs w:val="18"/>
                <w:lang w:val="es-ES"/>
              </w:rPr>
              <w:t xml:space="preserve"> educativos de calidad para las alumnas y alumnos de educación básica en escuelas públicas a través de ambientes escolares propicios para el aprendizaje,  con inclusión, equidad y perspectiva de género que generen armonía social</w:t>
            </w:r>
          </w:p>
        </w:tc>
      </w:tr>
      <w:tr>
        <w:trPr>
          <w:trHeight w:val="226"/>
        </w:trPr>
        <w:tc>
          <w:tcPr>
            <w:tcW w:w="212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13"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89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49"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5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trPr>
          <w:trHeight w:val="362"/>
        </w:trPr>
        <w:tc>
          <w:tcPr>
            <w:tcW w:w="2126" w:type="dxa"/>
            <w:tcBorders>
              <w:top w:val="nil"/>
              <w:left w:val="dotted" w:sz="4" w:space="0" w:color="000000"/>
              <w:bottom w:val="dotted" w:sz="4" w:space="0" w:color="000000"/>
              <w:right w:val="nil"/>
            </w:tcBorders>
            <w:shd w:val="clear" w:color="000000" w:fill="5F249F"/>
            <w:vAlign w:val="center"/>
            <w:hideMark/>
          </w:tcPr>
          <w:p>
            <w:pPr>
              <w:spacing w:after="0" w:line="240" w:lineRule="auto"/>
              <w:jc w:val="center"/>
              <w:rPr>
                <w:rFonts w:ascii="Calibri" w:eastAsia="Times New Roman" w:hAnsi="Calibri" w:cs="Calibri"/>
                <w:b/>
                <w:bCs/>
                <w:color w:val="FFFFFF"/>
                <w:sz w:val="18"/>
                <w:szCs w:val="18"/>
                <w:lang w:val="en-US"/>
              </w:rPr>
            </w:pPr>
            <w:proofErr w:type="spellStart"/>
            <w:r>
              <w:rPr>
                <w:rFonts w:ascii="Calibri" w:eastAsia="Times New Roman" w:hAnsi="Calibri" w:cs="Calibri"/>
                <w:b/>
                <w:bCs/>
                <w:color w:val="FFFFFF"/>
                <w:sz w:val="18"/>
                <w:szCs w:val="18"/>
                <w:lang w:val="en-US"/>
              </w:rPr>
              <w:t>Problema</w:t>
            </w:r>
            <w:proofErr w:type="spellEnd"/>
            <w:r>
              <w:rPr>
                <w:rFonts w:ascii="Calibri" w:eastAsia="Times New Roman" w:hAnsi="Calibri" w:cs="Calibri"/>
                <w:b/>
                <w:bCs/>
                <w:color w:val="FFFFFF"/>
                <w:sz w:val="18"/>
                <w:szCs w:val="18"/>
                <w:lang w:val="en-US"/>
              </w:rPr>
              <w:t xml:space="preserve"> a Resolver</w:t>
            </w:r>
          </w:p>
        </w:tc>
        <w:tc>
          <w:tcPr>
            <w:tcW w:w="8364"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18"/>
                <w:szCs w:val="18"/>
                <w:lang w:val="es-ES"/>
              </w:rPr>
            </w:pPr>
            <w:r>
              <w:rPr>
                <w:rFonts w:ascii="Calibri" w:eastAsia="Times New Roman" w:hAnsi="Calibri" w:cs="Calibri"/>
                <w:b/>
                <w:bCs/>
                <w:color w:val="000000"/>
                <w:sz w:val="18"/>
                <w:szCs w:val="18"/>
                <w:lang w:val="es-ES"/>
              </w:rPr>
              <w:t>Las escuelas públicas de educación básica presentan ambientes escolares desfavorables para el aprendizaje.</w:t>
            </w:r>
          </w:p>
        </w:tc>
      </w:tr>
      <w:tr>
        <w:trPr>
          <w:trHeight w:val="237"/>
        </w:trPr>
        <w:tc>
          <w:tcPr>
            <w:tcW w:w="2126"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13"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89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49"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7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56"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trPr>
          <w:trHeight w:val="282"/>
        </w:trPr>
        <w:tc>
          <w:tcPr>
            <w:tcW w:w="3489" w:type="dxa"/>
            <w:gridSpan w:val="3"/>
            <w:vMerge w:val="restart"/>
            <w:tcBorders>
              <w:top w:val="single" w:sz="8" w:space="0" w:color="000000"/>
              <w:left w:val="single" w:sz="8"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Concepto</w:t>
            </w:r>
            <w:proofErr w:type="spellEnd"/>
          </w:p>
        </w:tc>
        <w:tc>
          <w:tcPr>
            <w:tcW w:w="2890" w:type="dxa"/>
            <w:vMerge w:val="restart"/>
            <w:tcBorders>
              <w:top w:val="nil"/>
              <w:left w:val="single" w:sz="8" w:space="0" w:color="000000"/>
              <w:bottom w:val="single" w:sz="8" w:space="0" w:color="000000"/>
              <w:right w:val="single" w:sz="8" w:space="0" w:color="000000"/>
            </w:tcBorders>
            <w:shd w:val="clear" w:color="000000" w:fill="E8D1FF"/>
            <w:vAlign w:val="center"/>
            <w:hideMark/>
          </w:tcPr>
          <w:p>
            <w:pPr>
              <w:spacing w:after="0" w:line="240" w:lineRule="auto"/>
              <w:ind w:left="-195" w:firstLine="195"/>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Definición</w:t>
            </w:r>
            <w:proofErr w:type="spellEnd"/>
            <w:r>
              <w:rPr>
                <w:rFonts w:ascii="Calibri" w:eastAsia="Times New Roman" w:hAnsi="Calibri" w:cs="Calibri"/>
                <w:b/>
                <w:bCs/>
                <w:sz w:val="18"/>
                <w:szCs w:val="18"/>
                <w:lang w:val="en-US"/>
              </w:rPr>
              <w:br/>
              <w:t>de la</w:t>
            </w:r>
            <w:r>
              <w:rPr>
                <w:rFonts w:ascii="Calibri" w:eastAsia="Times New Roman" w:hAnsi="Calibri" w:cs="Calibri"/>
                <w:b/>
                <w:bCs/>
                <w:sz w:val="18"/>
                <w:szCs w:val="18"/>
                <w:lang w:val="en-US"/>
              </w:rPr>
              <w:br/>
            </w:r>
            <w:proofErr w:type="spellStart"/>
            <w:r>
              <w:rPr>
                <w:rFonts w:ascii="Calibri" w:eastAsia="Times New Roman" w:hAnsi="Calibri" w:cs="Calibri"/>
                <w:b/>
                <w:bCs/>
                <w:sz w:val="18"/>
                <w:szCs w:val="18"/>
                <w:lang w:val="en-US"/>
              </w:rPr>
              <w:t>Población</w:t>
            </w:r>
            <w:proofErr w:type="spellEnd"/>
          </w:p>
        </w:tc>
        <w:tc>
          <w:tcPr>
            <w:tcW w:w="4111" w:type="dxa"/>
            <w:gridSpan w:val="6"/>
            <w:tcBorders>
              <w:top w:val="single" w:sz="8" w:space="0" w:color="000000"/>
              <w:left w:val="nil"/>
              <w:bottom w:val="dotted" w:sz="4"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Población</w:t>
            </w:r>
            <w:proofErr w:type="spellEnd"/>
          </w:p>
        </w:tc>
      </w:tr>
      <w:tr>
        <w:trPr>
          <w:trHeight w:val="260"/>
        </w:trPr>
        <w:tc>
          <w:tcPr>
            <w:tcW w:w="3489" w:type="dxa"/>
            <w:gridSpan w:val="3"/>
            <w:vMerge/>
            <w:tcBorders>
              <w:top w:val="single" w:sz="8" w:space="0" w:color="000000"/>
              <w:left w:val="single" w:sz="8" w:space="0" w:color="000000"/>
              <w:bottom w:val="single" w:sz="8" w:space="0" w:color="000000"/>
              <w:right w:val="nil"/>
            </w:tcBorders>
            <w:vAlign w:val="center"/>
            <w:hideMark/>
          </w:tcPr>
          <w:p>
            <w:pPr>
              <w:spacing w:after="0" w:line="240" w:lineRule="auto"/>
              <w:rPr>
                <w:rFonts w:ascii="Calibri" w:eastAsia="Times New Roman" w:hAnsi="Calibri" w:cs="Calibri"/>
                <w:b/>
                <w:bCs/>
                <w:sz w:val="18"/>
                <w:szCs w:val="18"/>
                <w:lang w:val="en-US"/>
              </w:rPr>
            </w:pPr>
          </w:p>
        </w:tc>
        <w:tc>
          <w:tcPr>
            <w:tcW w:w="2890" w:type="dxa"/>
            <w:vMerge/>
            <w:tcBorders>
              <w:top w:val="nil"/>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b/>
                <w:bCs/>
                <w:sz w:val="18"/>
                <w:szCs w:val="18"/>
                <w:lang w:val="en-US"/>
              </w:rPr>
            </w:pPr>
          </w:p>
        </w:tc>
        <w:tc>
          <w:tcPr>
            <w:tcW w:w="1566" w:type="dxa"/>
            <w:gridSpan w:val="2"/>
            <w:tcBorders>
              <w:top w:val="dotted" w:sz="4" w:space="0" w:color="000000"/>
              <w:left w:val="nil"/>
              <w:bottom w:val="dotted" w:sz="4" w:space="0" w:color="000000"/>
              <w:right w:val="nil"/>
            </w:tcBorders>
            <w:shd w:val="clear" w:color="000000" w:fill="E8D1FF"/>
            <w:vAlign w:val="center"/>
            <w:hideMark/>
          </w:tcPr>
          <w:p>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Total</w:t>
            </w:r>
          </w:p>
        </w:tc>
        <w:tc>
          <w:tcPr>
            <w:tcW w:w="1319" w:type="dxa"/>
            <w:gridSpan w:val="2"/>
            <w:tcBorders>
              <w:top w:val="dotted" w:sz="4" w:space="0" w:color="000000"/>
              <w:left w:val="dotted" w:sz="4" w:space="0" w:color="000000"/>
              <w:bottom w:val="dotted" w:sz="4" w:space="0" w:color="000000"/>
              <w:right w:val="nil"/>
            </w:tcBorders>
            <w:shd w:val="clear" w:color="000000" w:fill="E8D1FF"/>
            <w:vAlign w:val="center"/>
            <w:hideMark/>
          </w:tcPr>
          <w:p>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Mujeres</w:t>
            </w:r>
            <w:proofErr w:type="spellEnd"/>
          </w:p>
        </w:tc>
        <w:tc>
          <w:tcPr>
            <w:tcW w:w="1226" w:type="dxa"/>
            <w:gridSpan w:val="2"/>
            <w:tcBorders>
              <w:top w:val="dotted" w:sz="4" w:space="0" w:color="000000"/>
              <w:left w:val="dotted" w:sz="4" w:space="0" w:color="000000"/>
              <w:bottom w:val="dotted" w:sz="4"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Hombres</w:t>
            </w:r>
          </w:p>
        </w:tc>
      </w:tr>
      <w:tr>
        <w:trPr>
          <w:trHeight w:val="237"/>
        </w:trPr>
        <w:tc>
          <w:tcPr>
            <w:tcW w:w="3489" w:type="dxa"/>
            <w:gridSpan w:val="3"/>
            <w:vMerge/>
            <w:tcBorders>
              <w:top w:val="single" w:sz="8" w:space="0" w:color="000000"/>
              <w:left w:val="single" w:sz="8" w:space="0" w:color="000000"/>
              <w:bottom w:val="single" w:sz="8" w:space="0" w:color="000000"/>
              <w:right w:val="nil"/>
            </w:tcBorders>
            <w:vAlign w:val="center"/>
            <w:hideMark/>
          </w:tcPr>
          <w:p>
            <w:pPr>
              <w:spacing w:after="0" w:line="240" w:lineRule="auto"/>
              <w:rPr>
                <w:rFonts w:ascii="Calibri" w:eastAsia="Times New Roman" w:hAnsi="Calibri" w:cs="Calibri"/>
                <w:b/>
                <w:bCs/>
                <w:sz w:val="18"/>
                <w:szCs w:val="18"/>
                <w:lang w:val="en-US"/>
              </w:rPr>
            </w:pPr>
          </w:p>
        </w:tc>
        <w:tc>
          <w:tcPr>
            <w:tcW w:w="2890" w:type="dxa"/>
            <w:vMerge/>
            <w:tcBorders>
              <w:top w:val="nil"/>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b/>
                <w:bCs/>
                <w:sz w:val="18"/>
                <w:szCs w:val="18"/>
                <w:lang w:val="en-US"/>
              </w:rPr>
            </w:pPr>
          </w:p>
        </w:tc>
        <w:tc>
          <w:tcPr>
            <w:tcW w:w="870" w:type="dxa"/>
            <w:tcBorders>
              <w:top w:val="nil"/>
              <w:left w:val="nil"/>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18"/>
                <w:szCs w:val="18"/>
                <w:lang w:val="en-US"/>
              </w:rPr>
            </w:pPr>
            <w:proofErr w:type="spellStart"/>
            <w:r>
              <w:rPr>
                <w:rFonts w:ascii="Calibri" w:eastAsia="Times New Roman" w:hAnsi="Calibri" w:cs="Calibri"/>
                <w:sz w:val="18"/>
                <w:szCs w:val="18"/>
                <w:lang w:val="en-US"/>
              </w:rPr>
              <w:t>Cantidad</w:t>
            </w:r>
            <w:proofErr w:type="spellEnd"/>
          </w:p>
        </w:tc>
        <w:tc>
          <w:tcPr>
            <w:tcW w:w="696"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w:t>
            </w:r>
          </w:p>
        </w:tc>
        <w:tc>
          <w:tcPr>
            <w:tcW w:w="870"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18"/>
                <w:szCs w:val="18"/>
                <w:lang w:val="en-US"/>
              </w:rPr>
            </w:pPr>
            <w:proofErr w:type="spellStart"/>
            <w:r>
              <w:rPr>
                <w:rFonts w:ascii="Calibri" w:eastAsia="Times New Roman" w:hAnsi="Calibri" w:cs="Calibri"/>
                <w:sz w:val="18"/>
                <w:szCs w:val="18"/>
                <w:lang w:val="en-US"/>
              </w:rPr>
              <w:t>Cantidad</w:t>
            </w:r>
            <w:proofErr w:type="spellEnd"/>
          </w:p>
        </w:tc>
        <w:tc>
          <w:tcPr>
            <w:tcW w:w="449"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w:t>
            </w:r>
          </w:p>
        </w:tc>
        <w:tc>
          <w:tcPr>
            <w:tcW w:w="870"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18"/>
                <w:szCs w:val="18"/>
                <w:lang w:val="en-US"/>
              </w:rPr>
            </w:pPr>
            <w:proofErr w:type="spellStart"/>
            <w:r>
              <w:rPr>
                <w:rFonts w:ascii="Calibri" w:eastAsia="Times New Roman" w:hAnsi="Calibri" w:cs="Calibri"/>
                <w:sz w:val="18"/>
                <w:szCs w:val="18"/>
                <w:lang w:val="en-US"/>
              </w:rPr>
              <w:t>Cantidad</w:t>
            </w:r>
            <w:proofErr w:type="spellEnd"/>
          </w:p>
        </w:tc>
        <w:tc>
          <w:tcPr>
            <w:tcW w:w="356" w:type="dxa"/>
            <w:tcBorders>
              <w:top w:val="nil"/>
              <w:left w:val="dotted" w:sz="4" w:space="0" w:color="000000"/>
              <w:bottom w:val="single" w:sz="8"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w:t>
            </w:r>
          </w:p>
        </w:tc>
      </w:tr>
      <w:tr>
        <w:trPr>
          <w:trHeight w:val="282"/>
        </w:trPr>
        <w:tc>
          <w:tcPr>
            <w:tcW w:w="3489"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n-US"/>
              </w:rPr>
            </w:pPr>
            <w:proofErr w:type="spellStart"/>
            <w:r>
              <w:rPr>
                <w:rFonts w:ascii="Calibri" w:eastAsia="Times New Roman" w:hAnsi="Calibri" w:cs="Calibri"/>
                <w:b/>
                <w:bCs/>
                <w:sz w:val="20"/>
                <w:szCs w:val="20"/>
                <w:lang w:val="en-US"/>
              </w:rPr>
              <w:t>Población</w:t>
            </w:r>
            <w:proofErr w:type="spellEnd"/>
            <w:r>
              <w:rPr>
                <w:rFonts w:ascii="Calibri" w:eastAsia="Times New Roman" w:hAnsi="Calibri" w:cs="Calibri"/>
                <w:b/>
                <w:bCs/>
                <w:sz w:val="20"/>
                <w:szCs w:val="20"/>
                <w:lang w:val="en-US"/>
              </w:rPr>
              <w:t xml:space="preserve"> de </w:t>
            </w:r>
            <w:proofErr w:type="spellStart"/>
            <w:r>
              <w:rPr>
                <w:rFonts w:ascii="Calibri" w:eastAsia="Times New Roman" w:hAnsi="Calibri" w:cs="Calibri"/>
                <w:b/>
                <w:bCs/>
                <w:sz w:val="20"/>
                <w:szCs w:val="20"/>
                <w:lang w:val="en-US"/>
              </w:rPr>
              <w:t>Referencia</w:t>
            </w:r>
            <w:proofErr w:type="spellEnd"/>
          </w:p>
        </w:tc>
        <w:tc>
          <w:tcPr>
            <w:tcW w:w="289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Población en el estado que requiere el servicio de educación básica, en cualquier nivel y/o modalidad.</w:t>
            </w:r>
          </w:p>
        </w:tc>
        <w:tc>
          <w:tcPr>
            <w:tcW w:w="8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6,211</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254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pPr>
              <w:tabs>
                <w:tab w:val="left" w:pos="594"/>
              </w:tabs>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trPr>
          <w:trHeight w:val="475"/>
        </w:trPr>
        <w:tc>
          <w:tcPr>
            <w:tcW w:w="3489"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Población relacionada con el área o sector </w:t>
            </w:r>
            <w:r>
              <w:rPr>
                <w:rFonts w:ascii="Calibri" w:eastAsia="Times New Roman" w:hAnsi="Calibri" w:cs="Calibri"/>
                <w:color w:val="000000"/>
                <w:sz w:val="16"/>
                <w:szCs w:val="16"/>
                <w:lang w:val="es-ES"/>
              </w:rPr>
              <w:br/>
              <w:t>donde se encuentra el problema.</w:t>
            </w:r>
          </w:p>
        </w:tc>
        <w:tc>
          <w:tcPr>
            <w:tcW w:w="289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16"/>
                <w:szCs w:val="16"/>
                <w:lang w:val="es-ES"/>
              </w:rPr>
            </w:pPr>
          </w:p>
        </w:tc>
        <w:tc>
          <w:tcPr>
            <w:tcW w:w="8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ES"/>
              </w:rPr>
            </w:pPr>
          </w:p>
        </w:tc>
        <w:tc>
          <w:tcPr>
            <w:tcW w:w="696"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ES"/>
              </w:rPr>
            </w:pPr>
          </w:p>
        </w:tc>
        <w:tc>
          <w:tcPr>
            <w:tcW w:w="2545" w:type="dxa"/>
            <w:gridSpan w:val="4"/>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lang w:val="es-ES"/>
              </w:rPr>
            </w:pPr>
          </w:p>
        </w:tc>
      </w:tr>
      <w:tr>
        <w:trPr>
          <w:trHeight w:val="282"/>
        </w:trPr>
        <w:tc>
          <w:tcPr>
            <w:tcW w:w="3489"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16"/>
                <w:szCs w:val="16"/>
                <w:lang w:val="es-ES"/>
              </w:rPr>
            </w:pPr>
            <w:r>
              <w:rPr>
                <w:rFonts w:ascii="Calibri" w:eastAsia="Times New Roman" w:hAnsi="Calibri" w:cs="Calibri"/>
                <w:b/>
                <w:bCs/>
                <w:sz w:val="16"/>
                <w:szCs w:val="16"/>
                <w:lang w:val="es-ES"/>
              </w:rPr>
              <w:t>Población no afectada por el problema</w:t>
            </w:r>
          </w:p>
        </w:tc>
        <w:tc>
          <w:tcPr>
            <w:tcW w:w="289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Población en el estado que requiere el servicio de educación básica, en cualquier nivel y/o modalidad que son atendidos en centros </w:t>
            </w:r>
            <w:proofErr w:type="spellStart"/>
            <w:r>
              <w:rPr>
                <w:rFonts w:ascii="Calibri" w:eastAsia="Times New Roman" w:hAnsi="Calibri" w:cs="Calibri"/>
                <w:color w:val="000000"/>
                <w:sz w:val="16"/>
                <w:szCs w:val="16"/>
                <w:lang w:val="es-ES"/>
              </w:rPr>
              <w:t>particularares</w:t>
            </w:r>
            <w:proofErr w:type="spellEnd"/>
            <w:r>
              <w:rPr>
                <w:rFonts w:ascii="Calibri" w:eastAsia="Times New Roman" w:hAnsi="Calibri" w:cs="Calibri"/>
                <w:color w:val="000000"/>
                <w:sz w:val="16"/>
                <w:szCs w:val="16"/>
                <w:lang w:val="es-ES"/>
              </w:rPr>
              <w:t>, estatales y federales.</w:t>
            </w:r>
          </w:p>
        </w:tc>
        <w:tc>
          <w:tcPr>
            <w:tcW w:w="8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2,885</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46.4%</w:t>
            </w:r>
          </w:p>
        </w:tc>
        <w:tc>
          <w:tcPr>
            <w:tcW w:w="254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trPr>
          <w:trHeight w:val="995"/>
        </w:trPr>
        <w:tc>
          <w:tcPr>
            <w:tcW w:w="3489"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Dentro de la Población de Referencia, esta parte de la población al no ser afectada por el problema queda fuera de los alcances del programa.</w:t>
            </w:r>
          </w:p>
        </w:tc>
        <w:tc>
          <w:tcPr>
            <w:tcW w:w="289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16"/>
                <w:szCs w:val="16"/>
                <w:lang w:val="es-ES"/>
              </w:rPr>
            </w:pPr>
          </w:p>
        </w:tc>
        <w:tc>
          <w:tcPr>
            <w:tcW w:w="8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ES"/>
              </w:rPr>
            </w:pPr>
          </w:p>
        </w:tc>
        <w:tc>
          <w:tcPr>
            <w:tcW w:w="696"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ES"/>
              </w:rPr>
            </w:pPr>
          </w:p>
        </w:tc>
        <w:tc>
          <w:tcPr>
            <w:tcW w:w="2545" w:type="dxa"/>
            <w:gridSpan w:val="4"/>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lang w:val="es-ES"/>
              </w:rPr>
            </w:pPr>
          </w:p>
        </w:tc>
      </w:tr>
      <w:tr>
        <w:trPr>
          <w:trHeight w:val="395"/>
        </w:trPr>
        <w:tc>
          <w:tcPr>
            <w:tcW w:w="3489"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16"/>
                <w:szCs w:val="16"/>
                <w:lang w:val="es-ES"/>
              </w:rPr>
            </w:pPr>
            <w:r>
              <w:rPr>
                <w:rFonts w:ascii="Calibri" w:eastAsia="Times New Roman" w:hAnsi="Calibri" w:cs="Calibri"/>
                <w:b/>
                <w:bCs/>
                <w:sz w:val="16"/>
                <w:szCs w:val="16"/>
                <w:lang w:val="es-ES"/>
              </w:rPr>
              <w:t>Población Potencial (Población con Problema)</w:t>
            </w:r>
          </w:p>
        </w:tc>
        <w:tc>
          <w:tcPr>
            <w:tcW w:w="289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Población en el estado que requiere el servicio de educación básica, en cualquier nivel y/o modalidad exceptuando los atendidos en centros </w:t>
            </w:r>
            <w:proofErr w:type="spellStart"/>
            <w:r>
              <w:rPr>
                <w:rFonts w:ascii="Calibri" w:eastAsia="Times New Roman" w:hAnsi="Calibri" w:cs="Calibri"/>
                <w:color w:val="000000"/>
                <w:sz w:val="16"/>
                <w:szCs w:val="16"/>
                <w:lang w:val="es-ES"/>
              </w:rPr>
              <w:t>particularares</w:t>
            </w:r>
            <w:proofErr w:type="spellEnd"/>
            <w:r>
              <w:rPr>
                <w:rFonts w:ascii="Calibri" w:eastAsia="Times New Roman" w:hAnsi="Calibri" w:cs="Calibri"/>
                <w:color w:val="000000"/>
                <w:sz w:val="16"/>
                <w:szCs w:val="16"/>
                <w:lang w:val="es-ES"/>
              </w:rPr>
              <w:t>, estatales y federales.</w:t>
            </w:r>
          </w:p>
        </w:tc>
        <w:tc>
          <w:tcPr>
            <w:tcW w:w="8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3,326</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53.6%</w:t>
            </w:r>
          </w:p>
        </w:tc>
        <w:tc>
          <w:tcPr>
            <w:tcW w:w="254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trPr>
          <w:trHeight w:val="1233"/>
        </w:trPr>
        <w:tc>
          <w:tcPr>
            <w:tcW w:w="3489"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Parte de la población de referencia, que es afectada por el problema (o será afectada por el), y que por lo tanto requiere de los servicios o bienes que proveerá el programa. Esta población se considera como elegible para ser atendida</w:t>
            </w:r>
            <w:r>
              <w:rPr>
                <w:rFonts w:ascii="Calibri" w:eastAsia="Times New Roman" w:hAnsi="Calibri" w:cs="Calibri"/>
                <w:color w:val="000000"/>
                <w:sz w:val="16"/>
                <w:szCs w:val="16"/>
                <w:lang w:val="es-ES"/>
              </w:rPr>
              <w:br/>
              <w:t>y justifica la existencia del programa.</w:t>
            </w:r>
          </w:p>
        </w:tc>
        <w:tc>
          <w:tcPr>
            <w:tcW w:w="289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20"/>
                <w:szCs w:val="20"/>
                <w:lang w:val="es-ES"/>
              </w:rPr>
            </w:pPr>
          </w:p>
        </w:tc>
        <w:tc>
          <w:tcPr>
            <w:tcW w:w="8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ES"/>
              </w:rPr>
            </w:pPr>
          </w:p>
        </w:tc>
        <w:tc>
          <w:tcPr>
            <w:tcW w:w="696"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ES"/>
              </w:rPr>
            </w:pPr>
          </w:p>
        </w:tc>
        <w:tc>
          <w:tcPr>
            <w:tcW w:w="2545" w:type="dxa"/>
            <w:gridSpan w:val="4"/>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lang w:val="es-ES"/>
              </w:rPr>
            </w:pPr>
          </w:p>
        </w:tc>
      </w:tr>
      <w:tr>
        <w:trPr>
          <w:trHeight w:val="282"/>
        </w:trPr>
        <w:tc>
          <w:tcPr>
            <w:tcW w:w="3489"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n-US"/>
              </w:rPr>
            </w:pPr>
            <w:proofErr w:type="spellStart"/>
            <w:r>
              <w:rPr>
                <w:rFonts w:ascii="Calibri" w:eastAsia="Times New Roman" w:hAnsi="Calibri" w:cs="Calibri"/>
                <w:b/>
                <w:bCs/>
                <w:sz w:val="20"/>
                <w:szCs w:val="20"/>
                <w:lang w:val="en-US"/>
              </w:rPr>
              <w:t>Población</w:t>
            </w:r>
            <w:proofErr w:type="spellEnd"/>
            <w:r>
              <w:rPr>
                <w:rFonts w:ascii="Calibri" w:eastAsia="Times New Roman" w:hAnsi="Calibri" w:cs="Calibri"/>
                <w:b/>
                <w:bCs/>
                <w:sz w:val="20"/>
                <w:szCs w:val="20"/>
                <w:lang w:val="en-US"/>
              </w:rPr>
              <w:t xml:space="preserve"> </w:t>
            </w:r>
            <w:proofErr w:type="spellStart"/>
            <w:r>
              <w:rPr>
                <w:rFonts w:ascii="Calibri" w:eastAsia="Times New Roman" w:hAnsi="Calibri" w:cs="Calibri"/>
                <w:b/>
                <w:bCs/>
                <w:sz w:val="20"/>
                <w:szCs w:val="20"/>
                <w:lang w:val="en-US"/>
              </w:rPr>
              <w:t>Objetivo</w:t>
            </w:r>
            <w:proofErr w:type="spellEnd"/>
          </w:p>
        </w:tc>
        <w:tc>
          <w:tcPr>
            <w:tcW w:w="289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sz w:val="18"/>
                <w:szCs w:val="18"/>
                <w:lang w:val="es-ES"/>
              </w:rPr>
            </w:pPr>
            <w:r>
              <w:rPr>
                <w:rFonts w:ascii="Calibri" w:eastAsia="Times New Roman" w:hAnsi="Calibri" w:cs="Calibri"/>
                <w:b/>
                <w:bCs/>
                <w:color w:val="000000"/>
                <w:sz w:val="18"/>
                <w:szCs w:val="18"/>
                <w:lang w:val="es-ES"/>
              </w:rPr>
              <w:t>Población en el estado que requiere el servicio de educación básica, en cualquier nivel y/o modalidad que son atendidos en centros federal transferido.</w:t>
            </w:r>
          </w:p>
        </w:tc>
        <w:tc>
          <w:tcPr>
            <w:tcW w:w="8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3,326</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254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trPr>
          <w:trHeight w:val="2443"/>
        </w:trPr>
        <w:tc>
          <w:tcPr>
            <w:tcW w:w="3489"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Es el número de </w:t>
            </w:r>
            <w:r>
              <w:rPr>
                <w:rFonts w:ascii="Calibri" w:eastAsia="Times New Roman" w:hAnsi="Calibri" w:cs="Calibri"/>
                <w:b/>
                <w:bCs/>
                <w:i/>
                <w:iCs/>
                <w:color w:val="000000"/>
                <w:sz w:val="16"/>
                <w:szCs w:val="16"/>
                <w:lang w:val="es-ES"/>
              </w:rPr>
              <w:t xml:space="preserve">beneficiarios, </w:t>
            </w:r>
            <w:r>
              <w:rPr>
                <w:rFonts w:ascii="Calibri" w:eastAsia="Times New Roman" w:hAnsi="Calibri" w:cs="Calibri"/>
                <w:color w:val="000000"/>
                <w:sz w:val="16"/>
                <w:szCs w:val="16"/>
                <w:lang w:val="es-ES"/>
              </w:rPr>
              <w:t xml:space="preserve">que corresponde </w:t>
            </w:r>
            <w:r>
              <w:rPr>
                <w:rFonts w:ascii="Calibri" w:eastAsia="Times New Roman" w:hAnsi="Calibri" w:cs="Calibri"/>
                <w:color w:val="000000"/>
                <w:sz w:val="16"/>
                <w:szCs w:val="16"/>
                <w:lang w:val="es-ES"/>
              </w:rPr>
              <w:br/>
              <w:t xml:space="preserve">a un subgrupo de la población potencial </w:t>
            </w:r>
            <w:r>
              <w:rPr>
                <w:rFonts w:ascii="Calibri" w:eastAsia="Times New Roman" w:hAnsi="Calibri" w:cs="Calibri"/>
                <w:color w:val="000000"/>
                <w:sz w:val="16"/>
                <w:szCs w:val="16"/>
                <w:lang w:val="es-ES"/>
              </w:rPr>
              <w:br/>
              <w:t>(personas, familias, empresas, instituciones) que el programa atenderá en un período determinado, partiendo de criterios</w:t>
            </w:r>
            <w:r>
              <w:rPr>
                <w:rFonts w:ascii="Calibri" w:eastAsia="Times New Roman" w:hAnsi="Calibri" w:cs="Calibri"/>
                <w:color w:val="000000"/>
                <w:sz w:val="16"/>
                <w:szCs w:val="16"/>
                <w:lang w:val="es-ES"/>
              </w:rPr>
              <w:br/>
              <w:t xml:space="preserve">de focalización con base en las restricciones </w:t>
            </w:r>
            <w:r>
              <w:rPr>
                <w:rFonts w:ascii="Calibri" w:eastAsia="Times New Roman" w:hAnsi="Calibri" w:cs="Calibri"/>
                <w:color w:val="000000"/>
                <w:sz w:val="16"/>
                <w:szCs w:val="16"/>
                <w:lang w:val="es-ES"/>
              </w:rPr>
              <w:br/>
              <w:t xml:space="preserve">de recursos humanos y presupuestales. </w:t>
            </w:r>
            <w:r>
              <w:rPr>
                <w:rFonts w:ascii="Calibri" w:eastAsia="Times New Roman" w:hAnsi="Calibri" w:cs="Calibri"/>
                <w:color w:val="000000"/>
                <w:sz w:val="16"/>
                <w:szCs w:val="16"/>
                <w:lang w:val="es-ES"/>
              </w:rPr>
              <w:br/>
              <w:t xml:space="preserve">En algunos casos, la población objetivo corresponde con la población potencial, siempre y cuando las restricciones de recursos permitan la </w:t>
            </w:r>
            <w:proofErr w:type="spellStart"/>
            <w:r>
              <w:rPr>
                <w:rFonts w:ascii="Calibri" w:eastAsia="Times New Roman" w:hAnsi="Calibri" w:cs="Calibri"/>
                <w:color w:val="000000"/>
                <w:sz w:val="16"/>
                <w:szCs w:val="16"/>
                <w:lang w:val="es-ES"/>
              </w:rPr>
              <w:t>antención</w:t>
            </w:r>
            <w:proofErr w:type="spellEnd"/>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s-ES"/>
              </w:rPr>
              <w:br/>
              <w:t>del total de la población potencial.</w:t>
            </w:r>
          </w:p>
        </w:tc>
        <w:tc>
          <w:tcPr>
            <w:tcW w:w="289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b/>
                <w:bCs/>
                <w:color w:val="000000"/>
                <w:sz w:val="20"/>
                <w:szCs w:val="20"/>
                <w:lang w:val="es-ES"/>
              </w:rPr>
            </w:pPr>
          </w:p>
        </w:tc>
        <w:tc>
          <w:tcPr>
            <w:tcW w:w="8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ES"/>
              </w:rPr>
            </w:pPr>
          </w:p>
        </w:tc>
        <w:tc>
          <w:tcPr>
            <w:tcW w:w="696"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ES"/>
              </w:rPr>
            </w:pPr>
          </w:p>
        </w:tc>
        <w:tc>
          <w:tcPr>
            <w:tcW w:w="2545" w:type="dxa"/>
            <w:gridSpan w:val="4"/>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lang w:val="es-ES"/>
              </w:rPr>
            </w:pPr>
          </w:p>
        </w:tc>
      </w:tr>
      <w:tr>
        <w:trPr>
          <w:trHeight w:val="282"/>
        </w:trPr>
        <w:tc>
          <w:tcPr>
            <w:tcW w:w="3489"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Población</w:t>
            </w:r>
            <w:proofErr w:type="spellEnd"/>
            <w:r>
              <w:rPr>
                <w:rFonts w:ascii="Calibri" w:eastAsia="Times New Roman" w:hAnsi="Calibri" w:cs="Calibri"/>
                <w:b/>
                <w:bCs/>
                <w:sz w:val="16"/>
                <w:szCs w:val="16"/>
                <w:lang w:val="en-US"/>
              </w:rPr>
              <w:t xml:space="preserve"> </w:t>
            </w:r>
            <w:proofErr w:type="spellStart"/>
            <w:r>
              <w:rPr>
                <w:rFonts w:ascii="Calibri" w:eastAsia="Times New Roman" w:hAnsi="Calibri" w:cs="Calibri"/>
                <w:b/>
                <w:bCs/>
                <w:sz w:val="16"/>
                <w:szCs w:val="16"/>
                <w:lang w:val="en-US"/>
              </w:rPr>
              <w:t>Postergada</w:t>
            </w:r>
            <w:proofErr w:type="spellEnd"/>
          </w:p>
        </w:tc>
        <w:tc>
          <w:tcPr>
            <w:tcW w:w="289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Población en el estado que requiere el servicio de educación básica, en cualquier nivel y/o modalidad que no son atendidos.</w:t>
            </w:r>
          </w:p>
        </w:tc>
        <w:tc>
          <w:tcPr>
            <w:tcW w:w="8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0.0%</w:t>
            </w:r>
          </w:p>
        </w:tc>
        <w:tc>
          <w:tcPr>
            <w:tcW w:w="254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trPr>
          <w:trHeight w:val="927"/>
        </w:trPr>
        <w:tc>
          <w:tcPr>
            <w:tcW w:w="3489"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 la población que por algún criterio de focalización o característica específica, el programa no está en condiciones reales de atender.</w:t>
            </w:r>
          </w:p>
        </w:tc>
        <w:tc>
          <w:tcPr>
            <w:tcW w:w="289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16"/>
                <w:szCs w:val="16"/>
                <w:lang w:val="es-ES"/>
              </w:rPr>
            </w:pPr>
          </w:p>
        </w:tc>
        <w:tc>
          <w:tcPr>
            <w:tcW w:w="8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ES"/>
              </w:rPr>
            </w:pPr>
          </w:p>
        </w:tc>
        <w:tc>
          <w:tcPr>
            <w:tcW w:w="696"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ES"/>
              </w:rPr>
            </w:pPr>
          </w:p>
        </w:tc>
        <w:tc>
          <w:tcPr>
            <w:tcW w:w="2545" w:type="dxa"/>
            <w:gridSpan w:val="4"/>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lang w:val="es-ES"/>
              </w:rPr>
            </w:pPr>
          </w:p>
        </w:tc>
      </w:tr>
      <w:tr>
        <w:trPr>
          <w:trHeight w:val="226"/>
        </w:trPr>
        <w:tc>
          <w:tcPr>
            <w:tcW w:w="10490" w:type="dxa"/>
            <w:gridSpan w:val="10"/>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10"/>
                <w:szCs w:val="10"/>
                <w:lang w:val="es-ES"/>
              </w:rPr>
            </w:pPr>
            <w:r>
              <w:rPr>
                <w:rFonts w:ascii="Calibri" w:eastAsia="Times New Roman" w:hAnsi="Calibri" w:cs="Calibri"/>
                <w:color w:val="000000"/>
                <w:sz w:val="10"/>
                <w:szCs w:val="10"/>
                <w:lang w:val="es-ES"/>
              </w:rPr>
              <w:t>Fuente: Elaboración propia del Departamento de Programación Orientada a Resultados de la Secretaría de Hacienda del Gobierno del Estado de Chihuahua, a partir de Formulación de programas con la metodología de marco lógico CEPAL - Serie Manuales No. 68</w:t>
            </w:r>
          </w:p>
        </w:tc>
      </w:tr>
    </w:tbl>
    <w:p>
      <w:pPr>
        <w:ind w:left="-567" w:right="-801"/>
        <w:rPr>
          <w:rFonts w:ascii="Arial" w:hAnsi="Arial" w:cs="Arial"/>
          <w:lang w:val="es-MX" w:eastAsia="zh-CN"/>
        </w:rPr>
      </w:pPr>
    </w:p>
    <w:p>
      <w:pPr>
        <w:pStyle w:val="Ttulo2"/>
        <w:numPr>
          <w:ilvl w:val="1"/>
          <w:numId w:val="118"/>
        </w:numPr>
        <w:ind w:left="-142" w:right="-801" w:firstLine="0"/>
        <w:rPr>
          <w:rFonts w:ascii="Arial" w:hAnsi="Arial" w:cs="Arial"/>
        </w:rPr>
      </w:pPr>
      <w:bookmarkStart w:id="30" w:name="_Toc121749440"/>
      <w:r>
        <w:rPr>
          <w:rFonts w:ascii="Arial" w:hAnsi="Arial" w:cs="Arial"/>
        </w:rPr>
        <w:t>Frecuencia de actualización de la población o área de enfoque potencial y objetivo</w:t>
      </w:r>
      <w:bookmarkEnd w:id="30"/>
      <w:r>
        <w:rPr>
          <w:rFonts w:ascii="Arial" w:hAnsi="Arial" w:cs="Arial"/>
        </w:rPr>
        <w:t xml:space="preserve"> </w:t>
      </w:r>
    </w:p>
    <w:p>
      <w:pPr>
        <w:ind w:left="-567" w:right="-801"/>
        <w:rPr>
          <w:rFonts w:ascii="Arial" w:hAnsi="Arial" w:cs="Arial"/>
          <w:sz w:val="12"/>
          <w:lang w:val="es-MX" w:eastAsia="zh-CN"/>
        </w:rPr>
      </w:pPr>
    </w:p>
    <w:p>
      <w:pPr>
        <w:ind w:left="-567" w:right="-801"/>
        <w:jc w:val="both"/>
        <w:rPr>
          <w:rFonts w:ascii="Arial" w:hAnsi="Arial" w:cs="Arial"/>
          <w:bCs/>
        </w:rPr>
      </w:pPr>
      <w:r>
        <w:rPr>
          <w:rFonts w:ascii="Arial" w:eastAsia="Times New Roman" w:hAnsi="Arial" w:cs="Arial"/>
          <w:color w:val="222222"/>
          <w:lang w:eastAsia="es-MX"/>
        </w:rPr>
        <w:t xml:space="preserve">La actualización tanto de la población objetivo como de la población potencial será realizada de acuerdo a la </w:t>
      </w:r>
      <w:r>
        <w:rPr>
          <w:rFonts w:ascii="Arial" w:hAnsi="Arial" w:cs="Arial"/>
        </w:rPr>
        <w:t>atención, que se dispone para cada ciclo escolar una vez realizada la oficialización de la estadística educativa por la federación. Por lo que la actualización estará sujeta a las fechas de liberación de la estadística oficializada que se realizará anualmente.</w:t>
      </w:r>
    </w:p>
    <w:p>
      <w:pPr>
        <w:pStyle w:val="Ttulo1"/>
        <w:numPr>
          <w:ilvl w:val="0"/>
          <w:numId w:val="118"/>
        </w:numPr>
        <w:spacing w:line="256" w:lineRule="auto"/>
        <w:ind w:left="-567" w:right="-801" w:firstLine="0"/>
        <w:rPr>
          <w:rFonts w:ascii="Arial" w:hAnsi="Arial" w:cs="Arial"/>
          <w:i/>
        </w:rPr>
      </w:pPr>
      <w:bookmarkStart w:id="31" w:name="_Toc121749441"/>
      <w:r>
        <w:rPr>
          <w:rFonts w:ascii="Arial" w:hAnsi="Arial" w:cs="Arial"/>
          <w:i/>
        </w:rPr>
        <w:t>ANÁLISIS DE ALTERNATIVAS</w:t>
      </w:r>
      <w:bookmarkEnd w:id="31"/>
      <w:r>
        <w:rPr>
          <w:rFonts w:ascii="Arial" w:hAnsi="Arial" w:cs="Arial"/>
          <w:i/>
        </w:rPr>
        <w:t xml:space="preserve"> </w:t>
      </w:r>
    </w:p>
    <w:p>
      <w:pPr>
        <w:spacing w:line="276" w:lineRule="auto"/>
        <w:ind w:left="-567" w:right="-801"/>
        <w:rPr>
          <w:rFonts w:ascii="Arial" w:hAnsi="Arial" w:cs="Arial"/>
          <w:b/>
          <w:sz w:val="18"/>
          <w:lang w:eastAsia="es-AR"/>
        </w:rPr>
      </w:pPr>
    </w:p>
    <w:p>
      <w:pPr>
        <w:spacing w:line="276" w:lineRule="auto"/>
        <w:ind w:left="-567" w:right="-801"/>
        <w:jc w:val="both"/>
        <w:rPr>
          <w:rFonts w:ascii="Arial" w:hAnsi="Arial" w:cs="Arial"/>
          <w:lang w:eastAsia="es-AR"/>
        </w:rPr>
      </w:pPr>
      <w:r>
        <w:rPr>
          <w:rFonts w:ascii="Arial" w:hAnsi="Arial" w:cs="Arial"/>
          <w:lang w:eastAsia="es-AR"/>
        </w:rPr>
        <w:t xml:space="preserve">A partir del análisis de los árboles de problemas y de objetivos, se generan las bases para encontrar las posibles alternativas de solución más viables del programa 2E208C1. </w:t>
      </w:r>
      <w:bookmarkStart w:id="32" w:name="_Toc121749442"/>
    </w:p>
    <w:tbl>
      <w:tblPr>
        <w:tblW w:w="9641" w:type="dxa"/>
        <w:jc w:val="center"/>
        <w:tblCellMar>
          <w:left w:w="70" w:type="dxa"/>
          <w:right w:w="70" w:type="dxa"/>
        </w:tblCellMar>
        <w:tblLook w:val="04A0" w:firstRow="1" w:lastRow="0" w:firstColumn="1" w:lastColumn="0" w:noHBand="0" w:noVBand="1"/>
      </w:tblPr>
      <w:tblGrid>
        <w:gridCol w:w="9641"/>
      </w:tblGrid>
      <w:tr>
        <w:trPr>
          <w:trHeight w:val="618"/>
          <w:jc w:val="center"/>
        </w:trPr>
        <w:tc>
          <w:tcPr>
            <w:tcW w:w="9641" w:type="dxa"/>
            <w:shd w:val="clear" w:color="auto" w:fill="6600CC"/>
            <w:noWrap/>
            <w:vAlign w:val="center"/>
            <w:hideMark/>
          </w:tcPr>
          <w:p>
            <w:pPr>
              <w:spacing w:after="0" w:line="240" w:lineRule="auto"/>
              <w:ind w:left="-567" w:right="-801"/>
              <w:jc w:val="center"/>
              <w:rPr>
                <w:rFonts w:ascii="Arial" w:eastAsia="Times New Roman" w:hAnsi="Arial" w:cs="Arial"/>
                <w:b/>
                <w:bCs/>
                <w:color w:val="000000"/>
                <w:szCs w:val="20"/>
                <w:lang w:val="es-MX" w:eastAsia="es-MX"/>
              </w:rPr>
            </w:pPr>
            <w:r>
              <w:rPr>
                <w:rFonts w:ascii="Arial" w:eastAsia="Times New Roman" w:hAnsi="Arial" w:cs="Arial"/>
                <w:b/>
                <w:bCs/>
                <w:color w:val="FFFFFF" w:themeColor="background1"/>
                <w:szCs w:val="20"/>
                <w:lang w:val="es-MX" w:eastAsia="es-MX"/>
              </w:rPr>
              <w:t>Alternativas de Solución</w:t>
            </w:r>
          </w:p>
        </w:tc>
      </w:tr>
      <w:tr>
        <w:trPr>
          <w:trHeight w:val="414"/>
          <w:jc w:val="center"/>
        </w:trPr>
        <w:tc>
          <w:tcPr>
            <w:tcW w:w="9641" w:type="dxa"/>
            <w:shd w:val="clear" w:color="auto" w:fill="E8D1FF"/>
            <w:noWrap/>
            <w:vAlign w:val="center"/>
            <w:hideMark/>
          </w:tcPr>
          <w:p>
            <w:pPr>
              <w:spacing w:after="0" w:line="240" w:lineRule="auto"/>
              <w:ind w:left="-567" w:right="-801"/>
              <w:jc w:val="center"/>
              <w:rPr>
                <w:rFonts w:ascii="Arial" w:eastAsia="Times New Roman" w:hAnsi="Arial" w:cs="Arial"/>
                <w:b/>
                <w:bCs/>
                <w:color w:val="000000"/>
                <w:szCs w:val="20"/>
                <w:lang w:val="es-MX" w:eastAsia="es-MX"/>
              </w:rPr>
            </w:pPr>
            <w:r>
              <w:rPr>
                <w:rFonts w:ascii="Arial" w:eastAsia="Times New Roman" w:hAnsi="Arial" w:cs="Arial"/>
                <w:b/>
                <w:bCs/>
                <w:color w:val="000000"/>
                <w:szCs w:val="20"/>
                <w:lang w:val="es-MX" w:eastAsia="es-MX"/>
              </w:rPr>
              <w:t>Alternativa de Solución del Fin</w:t>
            </w:r>
          </w:p>
        </w:tc>
      </w:tr>
      <w:tr>
        <w:trPr>
          <w:trHeight w:val="1005"/>
          <w:jc w:val="center"/>
        </w:trPr>
        <w:tc>
          <w:tcPr>
            <w:tcW w:w="9641" w:type="dxa"/>
            <w:shd w:val="clear" w:color="auto" w:fill="auto"/>
            <w:vAlign w:val="center"/>
            <w:hideMark/>
          </w:tcPr>
          <w:p>
            <w:pPr>
              <w:spacing w:after="0" w:line="240" w:lineRule="auto"/>
              <w:ind w:right="72"/>
              <w:jc w:val="both"/>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Contribuir a brindar los servicios educativos de calidad a los estudiantes de escuelas del Sistema</w:t>
            </w:r>
          </w:p>
          <w:p>
            <w:pPr>
              <w:spacing w:after="0" w:line="240" w:lineRule="auto"/>
              <w:ind w:right="72"/>
              <w:jc w:val="both"/>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Educativo Estatal, a través del desarrollo de ambientes escolares que propicien el aprendizaje, la inclusión, equidad y perspectiva de género.</w:t>
            </w:r>
          </w:p>
        </w:tc>
      </w:tr>
      <w:tr>
        <w:trPr>
          <w:trHeight w:val="392"/>
          <w:jc w:val="center"/>
        </w:trPr>
        <w:tc>
          <w:tcPr>
            <w:tcW w:w="9641" w:type="dxa"/>
            <w:shd w:val="clear" w:color="auto" w:fill="E8D1FF"/>
            <w:noWrap/>
            <w:vAlign w:val="center"/>
            <w:hideMark/>
          </w:tcPr>
          <w:p>
            <w:pPr>
              <w:spacing w:after="0" w:line="240" w:lineRule="auto"/>
              <w:ind w:left="72"/>
              <w:jc w:val="center"/>
              <w:rPr>
                <w:rFonts w:ascii="Arial" w:eastAsia="Times New Roman" w:hAnsi="Arial" w:cs="Arial"/>
                <w:b/>
                <w:bCs/>
                <w:color w:val="000000"/>
                <w:szCs w:val="20"/>
                <w:lang w:val="es-MX" w:eastAsia="es-MX"/>
              </w:rPr>
            </w:pPr>
            <w:r>
              <w:rPr>
                <w:rFonts w:ascii="Arial" w:eastAsia="Times New Roman" w:hAnsi="Arial" w:cs="Arial"/>
                <w:b/>
                <w:bCs/>
                <w:color w:val="000000"/>
                <w:szCs w:val="20"/>
                <w:lang w:val="es-MX" w:eastAsia="es-MX"/>
              </w:rPr>
              <w:t>Alternativa de Solución del Objetivo</w:t>
            </w:r>
          </w:p>
        </w:tc>
      </w:tr>
      <w:tr>
        <w:trPr>
          <w:trHeight w:val="675"/>
          <w:jc w:val="center"/>
        </w:trPr>
        <w:tc>
          <w:tcPr>
            <w:tcW w:w="9641" w:type="dxa"/>
            <w:shd w:val="clear" w:color="000000" w:fill="FFFFFF"/>
            <w:vAlign w:val="center"/>
            <w:hideMark/>
          </w:tcPr>
          <w:p>
            <w:pPr>
              <w:spacing w:after="0" w:line="240" w:lineRule="auto"/>
              <w:ind w:left="-70" w:right="72"/>
              <w:jc w:val="both"/>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Las escuelas públicas de educación básica presentan ambientes escolares favorables para el aprendizaje.</w:t>
            </w:r>
          </w:p>
        </w:tc>
      </w:tr>
    </w:tbl>
    <w:p>
      <w:pPr>
        <w:spacing w:line="276" w:lineRule="auto"/>
        <w:ind w:left="-567" w:right="-801"/>
        <w:jc w:val="both"/>
        <w:rPr>
          <w:rFonts w:ascii="Arial" w:hAnsi="Arial" w:cs="Arial"/>
          <w:sz w:val="2"/>
          <w:lang w:val="es-MX" w:eastAsia="es-A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072"/>
      </w:tblGrid>
      <w:tr>
        <w:trPr>
          <w:trHeight w:val="439"/>
          <w:jc w:val="center"/>
        </w:trPr>
        <w:tc>
          <w:tcPr>
            <w:tcW w:w="9634" w:type="dxa"/>
            <w:gridSpan w:val="2"/>
            <w:tcBorders>
              <w:top w:val="nil"/>
              <w:left w:val="nil"/>
              <w:right w:val="nil"/>
            </w:tcBorders>
            <w:shd w:val="clear" w:color="auto" w:fill="E8D1FF"/>
            <w:noWrap/>
            <w:vAlign w:val="center"/>
            <w:hideMark/>
          </w:tcPr>
          <w:p>
            <w:pPr>
              <w:spacing w:after="0" w:line="240" w:lineRule="auto"/>
              <w:ind w:left="-567" w:right="-801"/>
              <w:jc w:val="center"/>
              <w:rPr>
                <w:rFonts w:ascii="Arial" w:eastAsia="Times New Roman" w:hAnsi="Arial" w:cs="Arial"/>
                <w:b/>
                <w:bCs/>
                <w:color w:val="000000"/>
                <w:szCs w:val="20"/>
                <w:lang w:val="es-MX" w:eastAsia="es-MX"/>
              </w:rPr>
            </w:pPr>
            <w:r>
              <w:rPr>
                <w:rFonts w:ascii="Arial" w:eastAsia="Times New Roman" w:hAnsi="Arial" w:cs="Arial"/>
                <w:b/>
                <w:bCs/>
                <w:color w:val="000000"/>
                <w:szCs w:val="20"/>
                <w:lang w:val="es-MX" w:eastAsia="es-MX"/>
              </w:rPr>
              <w:t>Alternativa de Solución de los Medios</w:t>
            </w:r>
          </w:p>
        </w:tc>
      </w:tr>
      <w:tr>
        <w:trPr>
          <w:trHeight w:val="545"/>
          <w:jc w:val="center"/>
        </w:trPr>
        <w:tc>
          <w:tcPr>
            <w:tcW w:w="562" w:type="dxa"/>
            <w:shd w:val="clear" w:color="auto" w:fill="F2F2F2" w:themeFill="background1" w:themeFillShade="F2"/>
            <w:noWrap/>
            <w:vAlign w:val="center"/>
            <w:hideMark/>
          </w:tcPr>
          <w:p>
            <w:pPr>
              <w:spacing w:after="0" w:line="240" w:lineRule="auto"/>
              <w:ind w:left="-567" w:right="-637"/>
              <w:jc w:val="center"/>
              <w:rPr>
                <w:rFonts w:ascii="Arial" w:eastAsia="Times New Roman" w:hAnsi="Arial" w:cs="Arial"/>
                <w:b/>
                <w:color w:val="000000"/>
                <w:szCs w:val="20"/>
                <w:lang w:val="es-MX" w:eastAsia="es-MX"/>
              </w:rPr>
            </w:pPr>
            <w:r>
              <w:rPr>
                <w:rFonts w:ascii="Arial" w:eastAsia="Times New Roman" w:hAnsi="Arial" w:cs="Arial"/>
                <w:b/>
                <w:color w:val="000000"/>
                <w:szCs w:val="20"/>
                <w:lang w:val="es-MX" w:eastAsia="es-MX"/>
              </w:rPr>
              <w:t>1</w:t>
            </w:r>
          </w:p>
        </w:tc>
        <w:tc>
          <w:tcPr>
            <w:tcW w:w="9072" w:type="dxa"/>
            <w:shd w:val="clear" w:color="auto" w:fill="F2F2F2" w:themeFill="background1" w:themeFillShade="F2"/>
            <w:vAlign w:val="center"/>
            <w:hideMark/>
          </w:tcPr>
          <w:p>
            <w:pPr>
              <w:spacing w:after="0" w:line="240" w:lineRule="auto"/>
              <w:ind w:left="72" w:right="72"/>
              <w:rPr>
                <w:rFonts w:ascii="Arial" w:eastAsia="Times New Roman" w:hAnsi="Arial" w:cs="Arial"/>
                <w:b/>
                <w:color w:val="000000"/>
                <w:szCs w:val="20"/>
                <w:lang w:val="es-MX" w:eastAsia="es-MX"/>
              </w:rPr>
            </w:pPr>
            <w:r>
              <w:rPr>
                <w:rFonts w:ascii="Arial" w:eastAsia="Times New Roman" w:hAnsi="Arial" w:cs="Arial"/>
                <w:b/>
                <w:color w:val="000000"/>
                <w:szCs w:val="20"/>
                <w:lang w:val="es-MX" w:eastAsia="es-MX"/>
              </w:rPr>
              <w:t>Servicio de distribución de libros de texto gratuitos, material didáctico y de limpieza a las escuelas públicas de educación básica realizado.</w:t>
            </w:r>
          </w:p>
        </w:tc>
      </w:tr>
      <w:tr>
        <w:trPr>
          <w:trHeight w:val="411"/>
          <w:jc w:val="center"/>
        </w:trPr>
        <w:tc>
          <w:tcPr>
            <w:tcW w:w="562" w:type="dxa"/>
            <w:shd w:val="clear" w:color="auto" w:fill="auto"/>
            <w:noWrap/>
            <w:vAlign w:val="center"/>
            <w:hideMark/>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2</w:t>
            </w:r>
          </w:p>
        </w:tc>
        <w:tc>
          <w:tcPr>
            <w:tcW w:w="9072" w:type="dxa"/>
            <w:shd w:val="clear" w:color="auto" w:fill="auto"/>
            <w:vAlign w:val="center"/>
            <w:hideMark/>
          </w:tcPr>
          <w:p>
            <w:pPr>
              <w:spacing w:after="0" w:line="240" w:lineRule="auto"/>
              <w:ind w:left="72" w:right="72"/>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Adquisición de libros de texto para las y los alumnos de secundaria del municipio de Chihuahua.</w:t>
            </w:r>
          </w:p>
        </w:tc>
      </w:tr>
      <w:tr>
        <w:trPr>
          <w:trHeight w:val="462"/>
          <w:jc w:val="center"/>
        </w:trPr>
        <w:tc>
          <w:tcPr>
            <w:tcW w:w="562" w:type="dxa"/>
            <w:shd w:val="clear" w:color="auto" w:fill="auto"/>
            <w:noWrap/>
            <w:vAlign w:val="center"/>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3</w:t>
            </w:r>
          </w:p>
        </w:tc>
        <w:tc>
          <w:tcPr>
            <w:tcW w:w="9072" w:type="dxa"/>
            <w:shd w:val="clear" w:color="auto" w:fill="auto"/>
            <w:vAlign w:val="center"/>
          </w:tcPr>
          <w:p>
            <w:pPr>
              <w:autoSpaceDE w:val="0"/>
              <w:autoSpaceDN w:val="0"/>
              <w:adjustRightInd w:val="0"/>
              <w:spacing w:after="0" w:line="240" w:lineRule="auto"/>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Recepción de libros de texto para las y los alumnos de Educación Básica.</w:t>
            </w:r>
          </w:p>
        </w:tc>
      </w:tr>
      <w:tr>
        <w:trPr>
          <w:trHeight w:val="568"/>
          <w:jc w:val="center"/>
        </w:trPr>
        <w:tc>
          <w:tcPr>
            <w:tcW w:w="562" w:type="dxa"/>
            <w:shd w:val="clear" w:color="auto" w:fill="auto"/>
            <w:noWrap/>
            <w:vAlign w:val="center"/>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4</w:t>
            </w:r>
          </w:p>
        </w:tc>
        <w:tc>
          <w:tcPr>
            <w:tcW w:w="9072" w:type="dxa"/>
            <w:shd w:val="clear" w:color="auto" w:fill="auto"/>
            <w:vAlign w:val="center"/>
          </w:tcPr>
          <w:p>
            <w:pPr>
              <w:autoSpaceDE w:val="0"/>
              <w:autoSpaceDN w:val="0"/>
              <w:adjustRightInd w:val="0"/>
              <w:spacing w:after="0" w:line="240" w:lineRule="auto"/>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Adquisición de paquetes de material didáctico y de limpieza para los centros de Educación Preescolar, Primaria, Secundaria, Indígena y Especial.</w:t>
            </w:r>
          </w:p>
        </w:tc>
      </w:tr>
      <w:tr>
        <w:trPr>
          <w:trHeight w:val="406"/>
          <w:jc w:val="center"/>
        </w:trPr>
        <w:tc>
          <w:tcPr>
            <w:tcW w:w="562" w:type="dxa"/>
            <w:shd w:val="clear" w:color="auto" w:fill="F2F2F2" w:themeFill="background1" w:themeFillShade="F2"/>
            <w:noWrap/>
            <w:vAlign w:val="center"/>
            <w:hideMark/>
          </w:tcPr>
          <w:p>
            <w:pPr>
              <w:spacing w:after="0" w:line="240" w:lineRule="auto"/>
              <w:ind w:left="-567" w:right="-637"/>
              <w:jc w:val="center"/>
              <w:rPr>
                <w:rFonts w:ascii="Arial" w:eastAsia="Times New Roman" w:hAnsi="Arial" w:cs="Arial"/>
                <w:b/>
                <w:color w:val="000000"/>
                <w:szCs w:val="20"/>
                <w:lang w:val="es-MX" w:eastAsia="es-MX"/>
              </w:rPr>
            </w:pPr>
            <w:r>
              <w:rPr>
                <w:rFonts w:ascii="Arial" w:eastAsia="Times New Roman" w:hAnsi="Arial" w:cs="Arial"/>
                <w:b/>
                <w:color w:val="000000"/>
                <w:szCs w:val="20"/>
                <w:lang w:val="es-MX" w:eastAsia="es-MX"/>
              </w:rPr>
              <w:t>5</w:t>
            </w:r>
          </w:p>
        </w:tc>
        <w:tc>
          <w:tcPr>
            <w:tcW w:w="9072" w:type="dxa"/>
            <w:shd w:val="clear" w:color="auto" w:fill="F2F2F2" w:themeFill="background1" w:themeFillShade="F2"/>
            <w:vAlign w:val="center"/>
            <w:hideMark/>
          </w:tcPr>
          <w:p>
            <w:pPr>
              <w:autoSpaceDE w:val="0"/>
              <w:autoSpaceDN w:val="0"/>
              <w:adjustRightInd w:val="0"/>
              <w:spacing w:after="0" w:line="240" w:lineRule="auto"/>
              <w:rPr>
                <w:rFonts w:ascii="Arial" w:eastAsia="Times New Roman" w:hAnsi="Arial" w:cs="Arial"/>
                <w:b/>
                <w:color w:val="000000"/>
                <w:szCs w:val="20"/>
                <w:lang w:val="es-MX" w:eastAsia="es-MX"/>
              </w:rPr>
            </w:pPr>
            <w:r>
              <w:rPr>
                <w:rFonts w:ascii="Arial" w:eastAsia="Times New Roman" w:hAnsi="Arial" w:cs="Arial"/>
                <w:b/>
                <w:color w:val="000000"/>
                <w:szCs w:val="20"/>
                <w:lang w:val="es-MX" w:eastAsia="es-MX"/>
              </w:rPr>
              <w:t>Servicio de mejora a centros educativos públicos otorgado.</w:t>
            </w:r>
          </w:p>
        </w:tc>
      </w:tr>
      <w:tr>
        <w:trPr>
          <w:trHeight w:val="420"/>
          <w:jc w:val="center"/>
        </w:trPr>
        <w:tc>
          <w:tcPr>
            <w:tcW w:w="562" w:type="dxa"/>
            <w:shd w:val="clear" w:color="auto" w:fill="auto"/>
            <w:noWrap/>
            <w:vAlign w:val="center"/>
            <w:hideMark/>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6</w:t>
            </w:r>
          </w:p>
        </w:tc>
        <w:tc>
          <w:tcPr>
            <w:tcW w:w="9072" w:type="dxa"/>
            <w:shd w:val="clear" w:color="auto" w:fill="auto"/>
            <w:vAlign w:val="center"/>
            <w:hideMark/>
          </w:tcPr>
          <w:p>
            <w:pPr>
              <w:autoSpaceDE w:val="0"/>
              <w:autoSpaceDN w:val="0"/>
              <w:adjustRightInd w:val="0"/>
              <w:spacing w:after="0" w:line="240" w:lineRule="auto"/>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Preservación y mantenimiento de los planteles escolares de educación básica.</w:t>
            </w:r>
          </w:p>
        </w:tc>
      </w:tr>
      <w:tr>
        <w:trPr>
          <w:trHeight w:val="406"/>
          <w:jc w:val="center"/>
        </w:trPr>
        <w:tc>
          <w:tcPr>
            <w:tcW w:w="562" w:type="dxa"/>
            <w:shd w:val="clear" w:color="auto" w:fill="auto"/>
            <w:noWrap/>
            <w:vAlign w:val="center"/>
            <w:hideMark/>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7</w:t>
            </w:r>
          </w:p>
        </w:tc>
        <w:tc>
          <w:tcPr>
            <w:tcW w:w="9072" w:type="dxa"/>
            <w:shd w:val="clear" w:color="auto" w:fill="auto"/>
            <w:vAlign w:val="center"/>
            <w:hideMark/>
          </w:tcPr>
          <w:p>
            <w:pPr>
              <w:autoSpaceDE w:val="0"/>
              <w:autoSpaceDN w:val="0"/>
              <w:adjustRightInd w:val="0"/>
              <w:spacing w:after="0" w:line="240" w:lineRule="auto"/>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Realización de soporte tecnológico en los centros escolares de educación básica públicos.</w:t>
            </w:r>
          </w:p>
        </w:tc>
      </w:tr>
      <w:tr>
        <w:trPr>
          <w:trHeight w:val="563"/>
          <w:jc w:val="center"/>
        </w:trPr>
        <w:tc>
          <w:tcPr>
            <w:tcW w:w="562" w:type="dxa"/>
            <w:shd w:val="clear" w:color="auto" w:fill="F2F2F2" w:themeFill="background1" w:themeFillShade="F2"/>
            <w:noWrap/>
            <w:vAlign w:val="center"/>
            <w:hideMark/>
          </w:tcPr>
          <w:p>
            <w:pPr>
              <w:spacing w:after="0" w:line="240" w:lineRule="auto"/>
              <w:ind w:left="-567" w:right="-637"/>
              <w:jc w:val="center"/>
              <w:rPr>
                <w:rFonts w:ascii="Arial" w:eastAsia="Times New Roman" w:hAnsi="Arial" w:cs="Arial"/>
                <w:b/>
                <w:color w:val="000000"/>
                <w:szCs w:val="20"/>
                <w:lang w:val="es-MX" w:eastAsia="es-MX"/>
              </w:rPr>
            </w:pPr>
            <w:r>
              <w:rPr>
                <w:rFonts w:ascii="Arial" w:eastAsia="Times New Roman" w:hAnsi="Arial" w:cs="Arial"/>
                <w:b/>
                <w:color w:val="000000"/>
                <w:szCs w:val="20"/>
                <w:lang w:val="es-MX" w:eastAsia="es-MX"/>
              </w:rPr>
              <w:t>8</w:t>
            </w:r>
          </w:p>
        </w:tc>
        <w:tc>
          <w:tcPr>
            <w:tcW w:w="9072" w:type="dxa"/>
            <w:shd w:val="clear" w:color="auto" w:fill="F2F2F2" w:themeFill="background1" w:themeFillShade="F2"/>
            <w:vAlign w:val="center"/>
            <w:hideMark/>
          </w:tcPr>
          <w:p>
            <w:pPr>
              <w:autoSpaceDE w:val="0"/>
              <w:autoSpaceDN w:val="0"/>
              <w:adjustRightInd w:val="0"/>
              <w:spacing w:after="0" w:line="240" w:lineRule="auto"/>
              <w:rPr>
                <w:rFonts w:ascii="Arial" w:eastAsia="Times New Roman" w:hAnsi="Arial" w:cs="Arial"/>
                <w:b/>
                <w:color w:val="000000"/>
                <w:szCs w:val="20"/>
                <w:lang w:val="es-MX" w:eastAsia="es-MX"/>
              </w:rPr>
            </w:pPr>
            <w:r>
              <w:rPr>
                <w:rFonts w:ascii="Arial" w:eastAsia="Times New Roman" w:hAnsi="Arial" w:cs="Arial"/>
                <w:b/>
                <w:color w:val="000000"/>
                <w:szCs w:val="20"/>
                <w:lang w:val="es-MX" w:eastAsia="es-MX"/>
              </w:rPr>
              <w:t>Servicio de atención brindado a las Asociaciones de Padres de Familia y Consejos Escolares de Participación Social registrados</w:t>
            </w:r>
          </w:p>
        </w:tc>
      </w:tr>
      <w:tr>
        <w:trPr>
          <w:trHeight w:val="559"/>
          <w:jc w:val="center"/>
        </w:trPr>
        <w:tc>
          <w:tcPr>
            <w:tcW w:w="562" w:type="dxa"/>
            <w:shd w:val="clear" w:color="auto" w:fill="auto"/>
            <w:noWrap/>
            <w:vAlign w:val="center"/>
            <w:hideMark/>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9</w:t>
            </w:r>
          </w:p>
        </w:tc>
        <w:tc>
          <w:tcPr>
            <w:tcW w:w="9072" w:type="dxa"/>
            <w:shd w:val="clear" w:color="auto" w:fill="auto"/>
            <w:vAlign w:val="center"/>
            <w:hideMark/>
          </w:tcPr>
          <w:p>
            <w:pPr>
              <w:autoSpaceDE w:val="0"/>
              <w:autoSpaceDN w:val="0"/>
              <w:adjustRightInd w:val="0"/>
              <w:spacing w:after="0" w:line="240" w:lineRule="auto"/>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Seguimiento a las Asociaciones de Padres de Familia con base a las asesorías iniciales y de verificación de la  correcta operación.</w:t>
            </w:r>
          </w:p>
        </w:tc>
      </w:tr>
      <w:tr>
        <w:trPr>
          <w:trHeight w:val="374"/>
          <w:jc w:val="center"/>
        </w:trPr>
        <w:tc>
          <w:tcPr>
            <w:tcW w:w="562" w:type="dxa"/>
            <w:shd w:val="clear" w:color="auto" w:fill="auto"/>
            <w:noWrap/>
            <w:vAlign w:val="center"/>
            <w:hideMark/>
          </w:tcPr>
          <w:p>
            <w:pPr>
              <w:spacing w:after="0" w:line="240" w:lineRule="auto"/>
              <w:ind w:left="-567" w:right="-637"/>
              <w:jc w:val="center"/>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10</w:t>
            </w:r>
          </w:p>
        </w:tc>
        <w:tc>
          <w:tcPr>
            <w:tcW w:w="9072" w:type="dxa"/>
            <w:shd w:val="clear" w:color="auto" w:fill="auto"/>
            <w:vAlign w:val="center"/>
            <w:hideMark/>
          </w:tcPr>
          <w:p>
            <w:pPr>
              <w:autoSpaceDE w:val="0"/>
              <w:autoSpaceDN w:val="0"/>
              <w:adjustRightInd w:val="0"/>
              <w:spacing w:after="0" w:line="240" w:lineRule="auto"/>
              <w:rPr>
                <w:rFonts w:ascii="Arial" w:eastAsia="Times New Roman" w:hAnsi="Arial" w:cs="Arial"/>
                <w:color w:val="000000"/>
                <w:szCs w:val="20"/>
                <w:lang w:val="es-MX" w:eastAsia="es-MX"/>
              </w:rPr>
            </w:pPr>
            <w:r>
              <w:rPr>
                <w:rFonts w:ascii="Arial" w:eastAsia="Times New Roman" w:hAnsi="Arial" w:cs="Arial"/>
                <w:color w:val="000000"/>
                <w:szCs w:val="20"/>
                <w:lang w:val="es-MX" w:eastAsia="es-MX"/>
              </w:rPr>
              <w:t>Pláticas de orientación en la operación de los Consejos Escolares de Participación Social.</w:t>
            </w:r>
          </w:p>
        </w:tc>
      </w:tr>
    </w:tbl>
    <w:p>
      <w:pPr>
        <w:tabs>
          <w:tab w:val="left" w:pos="567"/>
        </w:tabs>
        <w:spacing w:line="276" w:lineRule="auto"/>
        <w:ind w:left="-567" w:right="-801"/>
        <w:jc w:val="both"/>
        <w:rPr>
          <w:rFonts w:ascii="Arial" w:hAnsi="Arial" w:cs="Arial"/>
          <w:i/>
        </w:rPr>
      </w:pPr>
    </w:p>
    <w:p>
      <w:pPr>
        <w:spacing w:line="276" w:lineRule="auto"/>
        <w:ind w:left="-567" w:right="-801"/>
        <w:jc w:val="both"/>
        <w:rPr>
          <w:rFonts w:ascii="Arial" w:hAnsi="Arial" w:cs="Arial"/>
          <w:i/>
        </w:rPr>
      </w:pPr>
      <w:r>
        <w:rPr>
          <w:rFonts w:ascii="Arial" w:hAnsi="Arial" w:cs="Arial"/>
          <w:i/>
        </w:rPr>
        <w:t>6. DISEÑO DEL PROGRAMA PRESUPUSTARIO O CON CAMBIOS SUSTANCIALES</w:t>
      </w:r>
      <w:bookmarkEnd w:id="32"/>
    </w:p>
    <w:p>
      <w:pPr>
        <w:pStyle w:val="Ttulo2"/>
        <w:numPr>
          <w:ilvl w:val="1"/>
          <w:numId w:val="123"/>
        </w:numPr>
        <w:ind w:left="11" w:right="-801" w:hanging="437"/>
        <w:rPr>
          <w:rFonts w:ascii="Arial" w:hAnsi="Arial" w:cs="Arial"/>
        </w:rPr>
      </w:pPr>
      <w:bookmarkStart w:id="33" w:name="_Toc121749443"/>
      <w:r>
        <w:rPr>
          <w:rFonts w:ascii="Arial" w:hAnsi="Arial" w:cs="Arial"/>
        </w:rPr>
        <w:t>Modalidad del programa</w:t>
      </w:r>
      <w:bookmarkEnd w:id="33"/>
      <w:r>
        <w:rPr>
          <w:rFonts w:ascii="Arial" w:hAnsi="Arial" w:cs="Arial"/>
        </w:rPr>
        <w:t xml:space="preserve"> </w:t>
      </w:r>
    </w:p>
    <w:p>
      <w:pPr>
        <w:pStyle w:val="Prrafodelista"/>
        <w:shd w:val="clear" w:color="auto" w:fill="FFFFFF"/>
        <w:spacing w:after="240" w:line="276" w:lineRule="auto"/>
        <w:ind w:left="-567" w:right="-801"/>
        <w:rPr>
          <w:rFonts w:eastAsia="Times New Roman" w:cs="Arial"/>
          <w:color w:val="222222"/>
          <w:lang w:eastAsia="es-MX"/>
        </w:rPr>
      </w:pPr>
      <w:r>
        <w:rPr>
          <w:rFonts w:eastAsia="Times New Roman" w:cs="Arial"/>
          <w:color w:val="222222"/>
          <w:lang w:eastAsia="es-MX"/>
        </w:rPr>
        <w:t xml:space="preserve">El Programa </w:t>
      </w:r>
      <w:r>
        <w:rPr>
          <w:rFonts w:cs="Arial"/>
          <w:bCs/>
          <w:color w:val="0D0D0D" w:themeColor="text1" w:themeTint="F2"/>
        </w:rPr>
        <w:t>Servicios para la Calidad en Educación Básica</w:t>
      </w:r>
      <w:r>
        <w:rPr>
          <w:rFonts w:eastAsia="Times New Roman" w:cs="Arial"/>
          <w:color w:val="222222"/>
          <w:lang w:eastAsia="es-MX"/>
        </w:rPr>
        <w:t xml:space="preserve"> tiene establecida la modalidad “E”</w:t>
      </w:r>
      <w:r>
        <w:rPr>
          <w:rFonts w:cs="Arial"/>
        </w:rPr>
        <w:t>.</w:t>
      </w:r>
      <w:r>
        <w:rPr>
          <w:rFonts w:eastAsia="Times New Roman" w:cs="Arial"/>
          <w:color w:val="222222"/>
          <w:lang w:eastAsia="es-MX"/>
        </w:rPr>
        <w:t xml:space="preserve"> A dicha clasificación programática le corresponde la prestación de servicios públicos para satisfacer demandas de la sociedad, de interés general, atendiendo a las personas en sus diferentes esferas jurídicas, a través de las siguientes finalidades: i) Funciones de gobierno; ii) Funciones de desarrollo social; y iii) Funciones de desarrollo económico”. Lo que es consistente con los servicios de educación básica que proporciona el Programa Cobertura en Educación Básica Inclusiva 2E206C1 a su población objetivo, así como su mecanismo de intervención. Toda vez que a través de la intervención que realiza el Programa, el Estado cumple con su responsabilidad de satisfacer una necesidad fundamental como lo es la educación y, con ello, apoya el bienestar de la población con derecho a la educación.</w:t>
      </w:r>
    </w:p>
    <w:tbl>
      <w:tblPr>
        <w:tblStyle w:val="Tablaconcuadrcula"/>
        <w:tblW w:w="0" w:type="auto"/>
        <w:tblLook w:val="04A0" w:firstRow="1" w:lastRow="0" w:firstColumn="1" w:lastColumn="0" w:noHBand="0" w:noVBand="1"/>
      </w:tblPr>
      <w:tblGrid>
        <w:gridCol w:w="2728"/>
        <w:gridCol w:w="6241"/>
      </w:tblGrid>
      <w:tr>
        <w:tc>
          <w:tcPr>
            <w:tcW w:w="2972" w:type="dxa"/>
            <w:shd w:val="clear" w:color="auto" w:fill="7030A0"/>
            <w:vAlign w:val="center"/>
          </w:tcPr>
          <w:p>
            <w:pPr>
              <w:spacing w:after="240"/>
              <w:ind w:right="-801"/>
              <w:rPr>
                <w:rFonts w:ascii="Arial" w:hAnsi="Arial" w:cs="Arial"/>
                <w:b/>
                <w:color w:val="FFFFFF" w:themeColor="background1"/>
                <w:sz w:val="18"/>
                <w:szCs w:val="18"/>
              </w:rPr>
            </w:pPr>
            <w:r>
              <w:rPr>
                <w:rFonts w:ascii="Arial" w:hAnsi="Arial" w:cs="Arial"/>
                <w:b/>
                <w:color w:val="FFFFFF" w:themeColor="background1"/>
                <w:sz w:val="18"/>
                <w:szCs w:val="18"/>
              </w:rPr>
              <w:t>Modalidad del Programa:</w:t>
            </w:r>
          </w:p>
        </w:tc>
        <w:tc>
          <w:tcPr>
            <w:tcW w:w="7082" w:type="dxa"/>
            <w:shd w:val="clear" w:color="auto" w:fill="auto"/>
            <w:vAlign w:val="center"/>
          </w:tcPr>
          <w:p>
            <w:pPr>
              <w:spacing w:after="240"/>
              <w:ind w:right="-801"/>
              <w:rPr>
                <w:rFonts w:ascii="Arial" w:hAnsi="Arial" w:cs="Arial"/>
                <w:bCs/>
                <w:sz w:val="18"/>
                <w:szCs w:val="18"/>
              </w:rPr>
            </w:pPr>
            <w:r>
              <w:rPr>
                <w:rFonts w:ascii="Arial" w:hAnsi="Arial" w:cs="Arial"/>
                <w:bCs/>
                <w:sz w:val="18"/>
                <w:szCs w:val="18"/>
              </w:rPr>
              <w:t>“</w:t>
            </w:r>
            <w:r>
              <w:rPr>
                <w:rFonts w:ascii="Arial" w:hAnsi="Arial" w:cs="Arial"/>
                <w:sz w:val="18"/>
                <w:szCs w:val="18"/>
                <w:u w:val="single"/>
              </w:rPr>
              <w:t>E” - Prestación de Servicios Públicos</w:t>
            </w:r>
          </w:p>
          <w:p>
            <w:pPr>
              <w:spacing w:after="240"/>
              <w:ind w:right="-801"/>
              <w:rPr>
                <w:rFonts w:ascii="Arial" w:hAnsi="Arial" w:cs="Arial"/>
                <w:bCs/>
                <w:sz w:val="18"/>
                <w:szCs w:val="18"/>
              </w:rPr>
            </w:pPr>
            <w:r>
              <w:rPr>
                <w:rFonts w:ascii="Arial" w:hAnsi="Arial" w:cs="Arial"/>
                <w:bCs/>
                <w:sz w:val="18"/>
                <w:szCs w:val="18"/>
              </w:rPr>
              <w:t>Actividades del sector público, que realiza en forma directa, regular y continua, para satisfacer demandas de la sociedad, de interés general, atendiendo a las personas en sus diferentes esferas jurídicas, a través de las siguientes finalidades:</w:t>
            </w:r>
          </w:p>
          <w:p>
            <w:pPr>
              <w:pStyle w:val="Prrafodelista"/>
              <w:numPr>
                <w:ilvl w:val="0"/>
                <w:numId w:val="122"/>
              </w:numPr>
              <w:spacing w:before="0" w:after="240" w:line="259" w:lineRule="auto"/>
              <w:ind w:right="-801"/>
              <w:rPr>
                <w:rFonts w:cs="Arial"/>
                <w:bCs/>
                <w:sz w:val="18"/>
                <w:szCs w:val="18"/>
              </w:rPr>
            </w:pPr>
            <w:r>
              <w:rPr>
                <w:rFonts w:cs="Arial"/>
                <w:bCs/>
                <w:sz w:val="18"/>
                <w:szCs w:val="18"/>
              </w:rPr>
              <w:t>Funciones de gobierno.</w:t>
            </w:r>
          </w:p>
          <w:p>
            <w:pPr>
              <w:pStyle w:val="Prrafodelista"/>
              <w:numPr>
                <w:ilvl w:val="0"/>
                <w:numId w:val="122"/>
              </w:numPr>
              <w:spacing w:before="0" w:after="240" w:line="259" w:lineRule="auto"/>
              <w:ind w:right="-801"/>
              <w:rPr>
                <w:rFonts w:cs="Arial"/>
                <w:bCs/>
                <w:sz w:val="18"/>
                <w:szCs w:val="18"/>
              </w:rPr>
            </w:pPr>
            <w:r>
              <w:rPr>
                <w:rFonts w:cs="Arial"/>
                <w:bCs/>
                <w:sz w:val="18"/>
                <w:szCs w:val="18"/>
              </w:rPr>
              <w:t>Funciones de desarrollo social.</w:t>
            </w:r>
          </w:p>
          <w:p>
            <w:pPr>
              <w:pStyle w:val="Prrafodelista"/>
              <w:numPr>
                <w:ilvl w:val="0"/>
                <w:numId w:val="122"/>
              </w:numPr>
              <w:spacing w:before="0" w:after="240" w:line="259" w:lineRule="auto"/>
              <w:ind w:right="-801"/>
              <w:rPr>
                <w:rFonts w:cs="Arial"/>
                <w:bCs/>
                <w:sz w:val="18"/>
                <w:szCs w:val="18"/>
              </w:rPr>
            </w:pPr>
            <w:r>
              <w:rPr>
                <w:rFonts w:cs="Arial"/>
                <w:bCs/>
                <w:sz w:val="18"/>
                <w:szCs w:val="18"/>
              </w:rPr>
              <w:t>Funciones de desarrollo económico.</w:t>
            </w:r>
          </w:p>
        </w:tc>
      </w:tr>
      <w:tr>
        <w:tc>
          <w:tcPr>
            <w:tcW w:w="2972" w:type="dxa"/>
            <w:shd w:val="clear" w:color="auto" w:fill="7030A0"/>
            <w:vAlign w:val="center"/>
          </w:tcPr>
          <w:p>
            <w:pPr>
              <w:spacing w:after="240"/>
              <w:ind w:right="-801"/>
              <w:rPr>
                <w:rFonts w:ascii="Arial" w:hAnsi="Arial" w:cs="Arial"/>
                <w:b/>
                <w:color w:val="FFFFFF" w:themeColor="background1"/>
                <w:sz w:val="18"/>
                <w:szCs w:val="18"/>
              </w:rPr>
            </w:pPr>
            <w:r>
              <w:rPr>
                <w:rFonts w:ascii="Arial" w:hAnsi="Arial" w:cs="Arial"/>
                <w:b/>
                <w:color w:val="FFFFFF" w:themeColor="background1"/>
                <w:sz w:val="18"/>
                <w:szCs w:val="18"/>
              </w:rPr>
              <w:t>Denominación del Programa:</w:t>
            </w:r>
          </w:p>
        </w:tc>
        <w:tc>
          <w:tcPr>
            <w:tcW w:w="7082" w:type="dxa"/>
            <w:shd w:val="clear" w:color="auto" w:fill="auto"/>
            <w:vAlign w:val="center"/>
          </w:tcPr>
          <w:p>
            <w:pPr>
              <w:spacing w:after="240"/>
              <w:ind w:right="-801"/>
              <w:rPr>
                <w:rFonts w:ascii="Arial" w:hAnsi="Arial" w:cs="Arial"/>
                <w:bCs/>
                <w:sz w:val="18"/>
                <w:szCs w:val="18"/>
              </w:rPr>
            </w:pPr>
            <w:r>
              <w:rPr>
                <w:rFonts w:ascii="Arial" w:hAnsi="Arial" w:cs="Arial"/>
                <w:bCs/>
                <w:sz w:val="18"/>
                <w:szCs w:val="18"/>
              </w:rPr>
              <w:t>2E208C1 “</w:t>
            </w:r>
            <w:r>
              <w:rPr>
                <w:rFonts w:cs="Arial"/>
                <w:bCs/>
                <w:color w:val="0D0D0D" w:themeColor="text1" w:themeTint="F2"/>
              </w:rPr>
              <w:t>Servicios para la Calidad en Educación Básica</w:t>
            </w:r>
            <w:r>
              <w:rPr>
                <w:rFonts w:ascii="Arial" w:hAnsi="Arial" w:cs="Arial"/>
                <w:bCs/>
                <w:sz w:val="18"/>
                <w:szCs w:val="18"/>
              </w:rPr>
              <w:t>”</w:t>
            </w:r>
          </w:p>
        </w:tc>
      </w:tr>
    </w:tbl>
    <w:p>
      <w:pPr>
        <w:pStyle w:val="Prrafodelista"/>
        <w:shd w:val="clear" w:color="auto" w:fill="FFFFFF"/>
        <w:spacing w:after="240" w:line="276" w:lineRule="auto"/>
        <w:ind w:left="-567" w:right="-801"/>
        <w:rPr>
          <w:rFonts w:eastAsia="Times New Roman" w:cs="Arial"/>
          <w:color w:val="222222"/>
          <w:sz w:val="2"/>
          <w:lang w:val="es-ES_tradnl" w:eastAsia="es-MX"/>
        </w:rPr>
      </w:pPr>
    </w:p>
    <w:p>
      <w:pPr>
        <w:pStyle w:val="Ttulo2"/>
        <w:numPr>
          <w:ilvl w:val="1"/>
          <w:numId w:val="123"/>
        </w:numPr>
        <w:ind w:left="-426" w:right="-801" w:firstLine="0"/>
        <w:rPr>
          <w:rFonts w:ascii="Arial" w:hAnsi="Arial" w:cs="Arial"/>
        </w:rPr>
      </w:pPr>
      <w:bookmarkStart w:id="34" w:name="_Toc121749444"/>
      <w:r>
        <w:rPr>
          <w:rFonts w:ascii="Arial" w:hAnsi="Arial" w:cs="Arial"/>
        </w:rPr>
        <w:t>Diseño del programa</w:t>
      </w:r>
      <w:bookmarkEnd w:id="34"/>
      <w:r>
        <w:rPr>
          <w:rFonts w:ascii="Arial" w:hAnsi="Arial" w:cs="Arial"/>
        </w:rPr>
        <w:t xml:space="preserve"> </w:t>
      </w:r>
    </w:p>
    <w:p>
      <w:pPr>
        <w:pStyle w:val="Ttulo3"/>
        <w:ind w:left="-284" w:right="-801"/>
        <w:rPr>
          <w:rFonts w:ascii="Arial" w:hAnsi="Arial" w:cs="Arial"/>
        </w:rPr>
      </w:pPr>
      <w:bookmarkStart w:id="35" w:name="_Toc121749445"/>
      <w:r>
        <w:rPr>
          <w:rFonts w:ascii="Arial" w:hAnsi="Arial" w:cs="Arial"/>
        </w:rPr>
        <w:t>6.2.1. Unidades responsables</w:t>
      </w:r>
      <w:bookmarkEnd w:id="35"/>
    </w:p>
    <w:p>
      <w:pPr>
        <w:tabs>
          <w:tab w:val="left" w:pos="3009"/>
        </w:tabs>
        <w:rPr>
          <w:sz w:val="2"/>
        </w:rPr>
      </w:pPr>
      <w:r>
        <w:rPr>
          <w:sz w:val="2"/>
        </w:rPr>
        <w:tab/>
      </w:r>
    </w:p>
    <w:tbl>
      <w:tblPr>
        <w:tblStyle w:val="Tablaconcuadrcula"/>
        <w:tblW w:w="10490" w:type="dxa"/>
        <w:jc w:val="center"/>
        <w:tblLayout w:type="fixed"/>
        <w:tblLook w:val="04A0" w:firstRow="1" w:lastRow="0" w:firstColumn="1" w:lastColumn="0" w:noHBand="0" w:noVBand="1"/>
      </w:tblPr>
      <w:tblGrid>
        <w:gridCol w:w="1838"/>
        <w:gridCol w:w="8652"/>
      </w:tblGrid>
      <w:tr>
        <w:trPr>
          <w:trHeight w:val="304"/>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ind w:left="-113" w:right="34"/>
              <w:jc w:val="center"/>
              <w:rPr>
                <w:rFonts w:ascii="Arial" w:eastAsia="Times New Roman" w:hAnsi="Arial" w:cs="Arial"/>
                <w:b/>
                <w:color w:val="FFFFFF" w:themeColor="background1"/>
                <w:szCs w:val="18"/>
                <w:lang w:eastAsia="es-MX"/>
              </w:rPr>
            </w:pPr>
            <w:r>
              <w:rPr>
                <w:rFonts w:ascii="Arial" w:eastAsia="Times New Roman" w:hAnsi="Arial" w:cs="Arial"/>
                <w:b/>
                <w:color w:val="FFFFFF" w:themeColor="background1"/>
                <w:sz w:val="20"/>
                <w:szCs w:val="18"/>
                <w:lang w:eastAsia="es-MX"/>
              </w:rPr>
              <w:t xml:space="preserve">DENOMINACIÓN </w:t>
            </w:r>
            <w:r>
              <w:rPr>
                <w:rFonts w:ascii="Arial" w:eastAsia="Times New Roman" w:hAnsi="Arial" w:cs="Arial"/>
                <w:b/>
                <w:color w:val="FFFFFF" w:themeColor="background1"/>
                <w:szCs w:val="18"/>
                <w:lang w:eastAsia="es-MX"/>
              </w:rPr>
              <w:t>DE LA UR</w:t>
            </w:r>
          </w:p>
        </w:tc>
        <w:tc>
          <w:tcPr>
            <w:tcW w:w="8652"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jc w:val="center"/>
              <w:rPr>
                <w:rFonts w:ascii="Arial" w:eastAsia="Times New Roman" w:hAnsi="Arial" w:cs="Arial"/>
                <w:b/>
                <w:color w:val="FFFFFF" w:themeColor="background1"/>
                <w:szCs w:val="18"/>
                <w:lang w:eastAsia="es-MX"/>
              </w:rPr>
            </w:pPr>
            <w:r>
              <w:rPr>
                <w:rFonts w:ascii="Arial" w:eastAsia="Times New Roman" w:hAnsi="Arial" w:cs="Arial"/>
                <w:b/>
                <w:color w:val="FFFFFF" w:themeColor="background1"/>
                <w:szCs w:val="18"/>
                <w:lang w:eastAsia="es-MX"/>
              </w:rPr>
              <w:t>FUNCIONES</w:t>
            </w:r>
          </w:p>
        </w:tc>
      </w:tr>
      <w:tr>
        <w:trPr>
          <w:jc w:val="center"/>
        </w:trPr>
        <w:tc>
          <w:tcPr>
            <w:tcW w:w="1838" w:type="dxa"/>
            <w:tcBorders>
              <w:top w:val="single" w:sz="4" w:space="0" w:color="auto"/>
              <w:left w:val="single" w:sz="4" w:space="0" w:color="auto"/>
              <w:bottom w:val="single" w:sz="4" w:space="0" w:color="auto"/>
              <w:right w:val="single" w:sz="4" w:space="0" w:color="auto"/>
            </w:tcBorders>
            <w:hideMark/>
          </w:tcPr>
          <w:p>
            <w:pPr>
              <w:spacing w:after="240" w:line="276" w:lineRule="auto"/>
              <w:ind w:left="-113" w:right="-108"/>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Servicios Educativos del Estado de Chihuahua</w:t>
            </w:r>
          </w:p>
        </w:tc>
        <w:tc>
          <w:tcPr>
            <w:tcW w:w="8652" w:type="dxa"/>
            <w:tcBorders>
              <w:top w:val="single" w:sz="4" w:space="0" w:color="auto"/>
              <w:left w:val="single" w:sz="4" w:space="0" w:color="auto"/>
              <w:bottom w:val="single" w:sz="4" w:space="0" w:color="auto"/>
              <w:right w:val="single" w:sz="4" w:space="0" w:color="auto"/>
            </w:tcBorders>
            <w:hideMark/>
          </w:tcPr>
          <w:p>
            <w:pPr>
              <w:spacing w:line="276" w:lineRule="auto"/>
              <w:rPr>
                <w:rFonts w:ascii="Arial" w:hAnsi="Arial" w:cs="Arial"/>
                <w:sz w:val="18"/>
                <w:szCs w:val="18"/>
              </w:rPr>
            </w:pPr>
            <w:r>
              <w:rPr>
                <w:rFonts w:ascii="Arial" w:hAnsi="Arial" w:cs="Arial"/>
                <w:sz w:val="18"/>
                <w:szCs w:val="18"/>
              </w:rPr>
              <w:t>Manual de Organización de Servicios Educativos del Estado de Chihuahua que contempla la siguiente en sus atribuciones:</w:t>
            </w:r>
          </w:p>
          <w:p>
            <w:pPr>
              <w:spacing w:line="276" w:lineRule="auto"/>
              <w:rPr>
                <w:rFonts w:ascii="Arial" w:hAnsi="Arial" w:cs="Arial"/>
                <w:sz w:val="18"/>
                <w:szCs w:val="18"/>
                <w:lang w:val="es-MX"/>
              </w:rPr>
            </w:pPr>
          </w:p>
          <w:p>
            <w:pPr>
              <w:spacing w:line="276" w:lineRule="auto"/>
              <w:rPr>
                <w:rFonts w:ascii="Arial" w:hAnsi="Arial" w:cs="Arial"/>
                <w:i/>
                <w:iCs/>
                <w:sz w:val="18"/>
                <w:szCs w:val="18"/>
              </w:rPr>
            </w:pPr>
            <w:r>
              <w:rPr>
                <w:rFonts w:ascii="Arial" w:hAnsi="Arial" w:cs="Arial"/>
                <w:i/>
                <w:iCs/>
                <w:sz w:val="18"/>
                <w:szCs w:val="18"/>
              </w:rPr>
              <w:t>“Artículo 2. Servicios Educativos del Estado de Chihuahua tiene por objeto la dirección técnica y administrativa de los establecimientos educativos que se transfieren por la Federación al Estado, en los términos de los convenios celebrados para tal fin.</w:t>
            </w:r>
          </w:p>
          <w:p>
            <w:pPr>
              <w:spacing w:line="276" w:lineRule="auto"/>
              <w:rPr>
                <w:rFonts w:ascii="Arial" w:hAnsi="Arial" w:cs="Arial"/>
                <w:i/>
                <w:iCs/>
                <w:sz w:val="18"/>
                <w:szCs w:val="18"/>
              </w:rPr>
            </w:pPr>
          </w:p>
          <w:p>
            <w:pPr>
              <w:spacing w:line="276" w:lineRule="auto"/>
              <w:rPr>
                <w:rFonts w:ascii="Arial" w:hAnsi="Arial" w:cs="Arial"/>
                <w:i/>
                <w:iCs/>
                <w:sz w:val="18"/>
                <w:szCs w:val="18"/>
              </w:rPr>
            </w:pPr>
            <w:r>
              <w:rPr>
                <w:rFonts w:ascii="Arial" w:hAnsi="Arial" w:cs="Arial"/>
                <w:i/>
                <w:iCs/>
                <w:sz w:val="18"/>
                <w:szCs w:val="18"/>
              </w:rPr>
              <w:t>Artículo 3. Para el cumplimiento de su objetivo el organismo tendrá todas las facultades necesarias y adecuadas, de conformidad con los lineamientos, planes y programas aprobados o puestos en marcha por el Ejecutivo del Estado Chihuahua así como las disposiciones legales y reglamentarias aplicables; asimismo, el Ejecutivo le aportará recursos económicos necesarios para dicho fin”</w:t>
            </w:r>
            <w:r>
              <w:rPr>
                <w:rStyle w:val="Refdenotaalpie"/>
                <w:rFonts w:ascii="Arial" w:hAnsi="Arial" w:cs="Arial"/>
                <w:i/>
                <w:iCs/>
                <w:szCs w:val="18"/>
              </w:rPr>
              <w:footnoteReference w:id="5"/>
            </w:r>
            <w:r>
              <w:rPr>
                <w:rFonts w:ascii="Arial" w:hAnsi="Arial" w:cs="Arial"/>
                <w:i/>
                <w:iCs/>
                <w:sz w:val="18"/>
                <w:szCs w:val="18"/>
              </w:rPr>
              <w:t>.</w:t>
            </w:r>
          </w:p>
          <w:p>
            <w:pPr>
              <w:spacing w:line="276" w:lineRule="auto"/>
              <w:rPr>
                <w:rFonts w:ascii="Arial" w:hAnsi="Arial" w:cs="Arial"/>
                <w:i/>
                <w:iCs/>
                <w:sz w:val="18"/>
                <w:szCs w:val="18"/>
              </w:rPr>
            </w:pPr>
          </w:p>
          <w:p>
            <w:pPr>
              <w:spacing w:line="276" w:lineRule="auto"/>
              <w:rPr>
                <w:rFonts w:ascii="Arial" w:hAnsi="Arial" w:cs="Arial"/>
                <w:sz w:val="18"/>
                <w:szCs w:val="18"/>
              </w:rPr>
            </w:pPr>
            <w:r>
              <w:rPr>
                <w:rFonts w:ascii="Arial" w:hAnsi="Arial" w:cs="Arial"/>
                <w:sz w:val="18"/>
                <w:szCs w:val="18"/>
              </w:rPr>
              <w:t>Por su parte, el Decreto de Creación de SEECH señala que:</w:t>
            </w:r>
          </w:p>
          <w:p>
            <w:pPr>
              <w:spacing w:line="276" w:lineRule="auto"/>
              <w:rPr>
                <w:rFonts w:ascii="Arial" w:hAnsi="Arial" w:cs="Arial"/>
                <w:sz w:val="18"/>
                <w:szCs w:val="18"/>
              </w:rPr>
            </w:pPr>
          </w:p>
          <w:p>
            <w:pPr>
              <w:spacing w:line="276" w:lineRule="auto"/>
              <w:rPr>
                <w:rFonts w:ascii="Arial" w:hAnsi="Arial" w:cs="Arial"/>
                <w:i/>
                <w:iCs/>
                <w:sz w:val="18"/>
                <w:szCs w:val="18"/>
              </w:rPr>
            </w:pPr>
            <w:r>
              <w:rPr>
                <w:rFonts w:ascii="Arial" w:hAnsi="Arial" w:cs="Arial"/>
                <w:i/>
                <w:iCs/>
                <w:sz w:val="18"/>
                <w:szCs w:val="18"/>
              </w:rPr>
              <w:lastRenderedPageBreak/>
              <w:t>“Artículo 2. Servicios Educativos del Estado de Chihuahua tiene por objeto la dirección técnica y administrativa de los establecimientos educativos que se transfieran por la Federación al Estado, en los términos de los convenios celebrados para tal fin.</w:t>
            </w:r>
          </w:p>
          <w:p>
            <w:pPr>
              <w:spacing w:line="276" w:lineRule="auto"/>
              <w:rPr>
                <w:rFonts w:ascii="Arial" w:hAnsi="Arial" w:cs="Arial"/>
                <w:i/>
                <w:iCs/>
                <w:sz w:val="18"/>
                <w:szCs w:val="18"/>
              </w:rPr>
            </w:pPr>
          </w:p>
          <w:p>
            <w:pPr>
              <w:spacing w:line="276" w:lineRule="auto"/>
              <w:rPr>
                <w:rFonts w:ascii="Arial" w:hAnsi="Arial" w:cs="Arial"/>
                <w:i/>
                <w:iCs/>
                <w:sz w:val="18"/>
                <w:szCs w:val="18"/>
              </w:rPr>
            </w:pPr>
            <w:r>
              <w:rPr>
                <w:rFonts w:ascii="Arial" w:hAnsi="Arial" w:cs="Arial"/>
                <w:i/>
                <w:iCs/>
                <w:sz w:val="18"/>
                <w:szCs w:val="18"/>
              </w:rPr>
              <w:t>Artículo 3. Para el cumplimiento de su objeto el Organismo tiene las siguientes funciones:</w:t>
            </w:r>
          </w:p>
          <w:p>
            <w:pPr>
              <w:pStyle w:val="Prrafodelista"/>
              <w:numPr>
                <w:ilvl w:val="0"/>
                <w:numId w:val="119"/>
              </w:numPr>
              <w:spacing w:line="276" w:lineRule="auto"/>
              <w:ind w:left="0"/>
              <w:rPr>
                <w:rFonts w:cs="Arial"/>
                <w:sz w:val="18"/>
                <w:szCs w:val="18"/>
                <w:lang w:val="es-AR"/>
              </w:rPr>
            </w:pPr>
            <w:r>
              <w:rPr>
                <w:rFonts w:cs="Arial"/>
                <w:i/>
                <w:sz w:val="18"/>
                <w:szCs w:val="18"/>
                <w:lang w:val="es-AR"/>
              </w:rPr>
              <w:t>I.</w:t>
            </w:r>
            <w:r>
              <w:rPr>
                <w:rFonts w:cs="Arial"/>
                <w:sz w:val="18"/>
                <w:szCs w:val="18"/>
                <w:lang w:val="es-AR"/>
              </w:rPr>
              <w:t xml:space="preserve">    Dirigir y administrar los planteles educativos;</w:t>
            </w:r>
          </w:p>
          <w:p>
            <w:pPr>
              <w:pStyle w:val="Prrafodelista"/>
              <w:numPr>
                <w:ilvl w:val="0"/>
                <w:numId w:val="119"/>
              </w:numPr>
              <w:spacing w:line="276" w:lineRule="auto"/>
              <w:ind w:left="0"/>
              <w:rPr>
                <w:rFonts w:cs="Arial"/>
                <w:sz w:val="18"/>
                <w:szCs w:val="18"/>
                <w:lang w:val="es-AR"/>
              </w:rPr>
            </w:pPr>
            <w:r>
              <w:rPr>
                <w:rFonts w:cs="Arial"/>
                <w:i/>
                <w:sz w:val="18"/>
                <w:szCs w:val="18"/>
                <w:lang w:val="es-AR"/>
              </w:rPr>
              <w:t>II.</w:t>
            </w:r>
            <w:r>
              <w:rPr>
                <w:rFonts w:cs="Arial"/>
                <w:sz w:val="18"/>
                <w:szCs w:val="18"/>
                <w:lang w:val="es-AR"/>
              </w:rPr>
              <w:t xml:space="preserve">   Participar con la Dirección General de Desarrollo Social, conforme a los lineamientos que se establezca, en la reorganización del sistema educativo estatal;</w:t>
            </w:r>
          </w:p>
          <w:p>
            <w:pPr>
              <w:pStyle w:val="Prrafodelista"/>
              <w:numPr>
                <w:ilvl w:val="0"/>
                <w:numId w:val="119"/>
              </w:numPr>
              <w:spacing w:line="276" w:lineRule="auto"/>
              <w:ind w:left="0"/>
              <w:rPr>
                <w:rFonts w:cs="Arial"/>
                <w:sz w:val="18"/>
                <w:szCs w:val="18"/>
                <w:lang w:val="es-AR"/>
              </w:rPr>
            </w:pPr>
            <w:r>
              <w:rPr>
                <w:rFonts w:cs="Arial"/>
                <w:i/>
                <w:sz w:val="18"/>
                <w:szCs w:val="18"/>
                <w:lang w:val="es-AR"/>
              </w:rPr>
              <w:t>III.</w:t>
            </w:r>
            <w:r>
              <w:rPr>
                <w:rFonts w:cs="Arial"/>
                <w:sz w:val="18"/>
                <w:szCs w:val="18"/>
                <w:lang w:val="es-AR"/>
              </w:rPr>
              <w:t xml:space="preserve">   Promover y fortalecer la participación de la comunidad en el sistema educativo estatal;</w:t>
            </w:r>
          </w:p>
          <w:p>
            <w:pPr>
              <w:pStyle w:val="Prrafodelista"/>
              <w:numPr>
                <w:ilvl w:val="0"/>
                <w:numId w:val="119"/>
              </w:numPr>
              <w:spacing w:line="276" w:lineRule="auto"/>
              <w:ind w:left="0"/>
              <w:rPr>
                <w:rFonts w:cs="Arial"/>
                <w:sz w:val="18"/>
                <w:szCs w:val="18"/>
                <w:lang w:val="es-AR"/>
              </w:rPr>
            </w:pPr>
            <w:r>
              <w:rPr>
                <w:rFonts w:cs="Arial"/>
                <w:i/>
                <w:sz w:val="18"/>
                <w:szCs w:val="18"/>
                <w:lang w:val="es-AR"/>
              </w:rPr>
              <w:t>IV.</w:t>
            </w:r>
            <w:r>
              <w:rPr>
                <w:rFonts w:cs="Arial"/>
                <w:sz w:val="18"/>
                <w:szCs w:val="18"/>
                <w:lang w:val="es-AR"/>
              </w:rPr>
              <w:t xml:space="preserve">  Participar en la formación y actualización del magisterio;</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V.   </w:t>
            </w:r>
            <w:r>
              <w:rPr>
                <w:rFonts w:cs="Arial"/>
                <w:sz w:val="18"/>
                <w:szCs w:val="18"/>
                <w:lang w:val="es-AR"/>
              </w:rPr>
              <w:t>Participar en las propuestas que se presenten a la Secretaría de Educación Pública, sobre el diseño de planes y programas de contenido regional y promover su inclusión en el contexto educativo;</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VI.   </w:t>
            </w:r>
            <w:r>
              <w:rPr>
                <w:rFonts w:cs="Arial"/>
                <w:sz w:val="18"/>
                <w:szCs w:val="18"/>
                <w:lang w:val="es-AR"/>
              </w:rPr>
              <w:t>Impulsar el funcionamiento de los Consejos Técnicos de la Educación;</w:t>
            </w:r>
          </w:p>
          <w:p>
            <w:pPr>
              <w:pStyle w:val="Prrafodelista"/>
              <w:numPr>
                <w:ilvl w:val="0"/>
                <w:numId w:val="119"/>
              </w:numPr>
              <w:spacing w:line="276" w:lineRule="auto"/>
              <w:ind w:left="0"/>
              <w:rPr>
                <w:rFonts w:cs="Arial"/>
                <w:sz w:val="18"/>
                <w:szCs w:val="18"/>
                <w:lang w:val="es-AR"/>
              </w:rPr>
            </w:pPr>
            <w:r>
              <w:rPr>
                <w:rFonts w:cs="Arial"/>
                <w:i/>
                <w:sz w:val="18"/>
                <w:szCs w:val="18"/>
                <w:lang w:val="es-AR"/>
              </w:rPr>
              <w:t>VII.</w:t>
            </w:r>
            <w:r>
              <w:rPr>
                <w:rFonts w:cs="Arial"/>
                <w:sz w:val="18"/>
                <w:szCs w:val="18"/>
                <w:lang w:val="es-AR"/>
              </w:rPr>
              <w:t xml:space="preserve">  Construir, reubicar, ampliar y mantener los planteles educativos;</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VIII. </w:t>
            </w:r>
            <w:r>
              <w:rPr>
                <w:rFonts w:cs="Arial"/>
                <w:sz w:val="18"/>
                <w:szCs w:val="18"/>
                <w:lang w:val="es-AR"/>
              </w:rPr>
              <w:t>Participar en la supervisión del sistema educativo estatal;</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IX.  </w:t>
            </w:r>
            <w:r>
              <w:rPr>
                <w:rFonts w:cs="Arial"/>
                <w:sz w:val="18"/>
                <w:szCs w:val="18"/>
                <w:lang w:val="es-AR"/>
              </w:rPr>
              <w:t>Informar al Ejecutivo Estatal sobre el cumplimiento de la normatividad federal en materia educativa, y proponer las reformas o modificaciones respectivas; y</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X.     </w:t>
            </w:r>
            <w:r>
              <w:rPr>
                <w:rFonts w:cs="Arial"/>
                <w:sz w:val="18"/>
                <w:szCs w:val="18"/>
                <w:lang w:val="es-AR"/>
              </w:rPr>
              <w:t>Las demás necesarias para el cumplimiento de su objeto.”</w:t>
            </w:r>
            <w:r>
              <w:rPr>
                <w:rStyle w:val="Refdenotaalpie"/>
                <w:rFonts w:cs="Arial"/>
                <w:szCs w:val="18"/>
                <w:lang w:val="es-AR"/>
              </w:rPr>
              <w:footnoteReference w:id="6"/>
            </w:r>
          </w:p>
        </w:tc>
      </w:tr>
    </w:tbl>
    <w:p>
      <w:pPr>
        <w:ind w:left="-567" w:right="-801"/>
        <w:rPr>
          <w:rFonts w:ascii="Arial" w:hAnsi="Arial" w:cs="Arial"/>
          <w:sz w:val="4"/>
        </w:rPr>
      </w:pPr>
      <w:bookmarkStart w:id="36" w:name="_Toc118184798"/>
    </w:p>
    <w:bookmarkEnd w:id="36"/>
    <w:p>
      <w:pPr>
        <w:autoSpaceDE w:val="0"/>
        <w:autoSpaceDN w:val="0"/>
        <w:adjustRightInd w:val="0"/>
        <w:spacing w:after="0" w:line="240" w:lineRule="auto"/>
        <w:ind w:left="-567" w:right="-801"/>
        <w:rPr>
          <w:rFonts w:ascii="Arial" w:hAnsi="Arial" w:cs="Arial"/>
          <w:color w:val="0D0D0D" w:themeColor="text1" w:themeTint="F2"/>
          <w:lang w:val="es-MX" w:eastAsia="es-AR"/>
        </w:rPr>
      </w:pPr>
      <w:r>
        <w:rPr>
          <w:rFonts w:ascii="Arial" w:eastAsia="Times New Roman" w:hAnsi="Arial" w:cs="Arial"/>
          <w:color w:val="222222"/>
          <w:lang w:val="es-ES" w:eastAsia="es-MX"/>
        </w:rPr>
        <w:t xml:space="preserve">La descripción de las funciones específicas de las unidades responsables del programa presupuestario 2E208C1 Servicios para la Calidad en Educación Básica se detallan en el ANEXO I Ficha con Datos Generales del Programa Propuesto o con cambios sustanciales son los siguientes: el </w:t>
      </w:r>
      <w:r>
        <w:rPr>
          <w:rFonts w:ascii="Arial" w:eastAsia="Times New Roman" w:hAnsi="Arial" w:cs="Arial"/>
          <w:color w:val="000000"/>
          <w:sz w:val="20"/>
          <w:szCs w:val="20"/>
          <w:lang w:val="es-MX" w:eastAsia="es-MX"/>
        </w:rPr>
        <w:t>Departamento de coordinación estatal de tecnología educativa (CETE), el Departamento de Microplaneación, el Departamento de Libros de Texto y el Departamento de CEPS y Atención a Padres de Familia</w:t>
      </w:r>
    </w:p>
    <w:p>
      <w:pPr>
        <w:spacing w:after="0" w:line="240" w:lineRule="auto"/>
        <w:ind w:left="-567" w:right="-801"/>
        <w:jc w:val="both"/>
        <w:rPr>
          <w:rFonts w:ascii="Arial" w:eastAsia="Times New Roman" w:hAnsi="Arial" w:cs="Arial"/>
          <w:color w:val="000000"/>
          <w:lang w:val="es-MX" w:eastAsia="es-MX"/>
        </w:rPr>
      </w:pPr>
    </w:p>
    <w:p>
      <w:pPr>
        <w:pStyle w:val="Prrafodelista"/>
        <w:ind w:left="-567" w:right="-801"/>
        <w:rPr>
          <w:rFonts w:eastAsia="Times New Roman" w:cs="Arial"/>
          <w:color w:val="222222"/>
          <w:lang w:eastAsia="es-MX"/>
        </w:rPr>
      </w:pPr>
      <w:r>
        <w:rPr>
          <w:rFonts w:eastAsia="Times New Roman" w:cs="Arial"/>
          <w:color w:val="222222"/>
          <w:lang w:eastAsia="es-MX"/>
        </w:rPr>
        <w:t>Lo que es consistente con los servicios de educación básica que proporciona el Programa Servicios para la Calidad en Educación Básica 2E208C1 a su población objetivo, así como su mecanismo de intervención. Toda vez que a través de la intervención que realiza el Programa, el Estado cumple con su responsabilidad de satisfacer una necesidad fundamental como lo es la educación y, con ello, apoya el bienestar de la población con derecho a la educación.</w:t>
      </w:r>
    </w:p>
    <w:p>
      <w:pPr>
        <w:pStyle w:val="Prrafodelista"/>
        <w:ind w:left="-567" w:right="-801"/>
        <w:rPr>
          <w:rFonts w:eastAsia="Times New Roman" w:cs="Arial"/>
          <w:color w:val="222222"/>
          <w:lang w:eastAsia="es-MX"/>
        </w:rPr>
      </w:pPr>
    </w:p>
    <w:p>
      <w:pPr>
        <w:pStyle w:val="Prrafodelista"/>
        <w:ind w:left="-567" w:right="-801"/>
        <w:rPr>
          <w:rFonts w:eastAsia="Times New Roman" w:cs="Arial"/>
          <w:color w:val="222222"/>
          <w:lang w:eastAsia="es-MX"/>
        </w:rPr>
      </w:pPr>
    </w:p>
    <w:p>
      <w:pPr>
        <w:pStyle w:val="Ttulo3"/>
        <w:ind w:left="-142" w:right="-801"/>
        <w:rPr>
          <w:rFonts w:ascii="Arial" w:hAnsi="Arial" w:cs="Arial"/>
        </w:rPr>
      </w:pPr>
      <w:bookmarkStart w:id="37" w:name="_Toc121749446"/>
      <w:r>
        <w:rPr>
          <w:rFonts w:ascii="Arial" w:hAnsi="Arial" w:cs="Arial"/>
        </w:rPr>
        <w:t>6.2.2 Principales características de operación del programa</w:t>
      </w:r>
      <w:bookmarkEnd w:id="37"/>
      <w:r>
        <w:rPr>
          <w:rFonts w:ascii="Arial" w:hAnsi="Arial" w:cs="Arial"/>
        </w:rPr>
        <w:t xml:space="preserve"> </w:t>
      </w:r>
    </w:p>
    <w:p>
      <w:pPr>
        <w:spacing w:after="0" w:line="276" w:lineRule="auto"/>
        <w:ind w:left="-567" w:right="-801"/>
        <w:rPr>
          <w:rFonts w:ascii="Arial" w:hAnsi="Arial" w:cs="Arial"/>
          <w:b/>
          <w:lang w:eastAsia="es-AR"/>
        </w:rPr>
      </w:pPr>
    </w:p>
    <w:p>
      <w:pPr>
        <w:pStyle w:val="Ttulo3"/>
        <w:ind w:right="-801"/>
        <w:rPr>
          <w:rFonts w:ascii="Arial" w:hAnsi="Arial" w:cs="Arial"/>
        </w:rPr>
      </w:pPr>
      <w:bookmarkStart w:id="38" w:name="_Toc121749447"/>
      <w:r>
        <w:rPr>
          <w:rFonts w:ascii="Arial" w:hAnsi="Arial" w:cs="Arial"/>
        </w:rPr>
        <w:t>6.2.2.1 Previsiones para la integración y operación del padrón de beneficiarios</w:t>
      </w:r>
      <w:bookmarkEnd w:id="38"/>
    </w:p>
    <w:p>
      <w:pPr>
        <w:spacing w:after="0" w:line="276" w:lineRule="auto"/>
        <w:ind w:left="-567" w:right="-801"/>
        <w:jc w:val="both"/>
        <w:rPr>
          <w:rFonts w:ascii="Arial" w:eastAsia="Times New Roman" w:hAnsi="Arial" w:cs="Arial"/>
          <w:color w:val="0D0D0D" w:themeColor="text1" w:themeTint="F2"/>
          <w:lang w:eastAsia="es-MX"/>
        </w:rPr>
      </w:pPr>
    </w:p>
    <w:p>
      <w:pPr>
        <w:spacing w:line="276" w:lineRule="auto"/>
        <w:ind w:left="-567" w:right="-801"/>
        <w:jc w:val="both"/>
        <w:rPr>
          <w:rFonts w:ascii="Arial" w:hAnsi="Arial" w:cs="Arial"/>
        </w:rPr>
      </w:pPr>
      <w:r>
        <w:rPr>
          <w:rFonts w:ascii="Arial" w:eastAsia="Times New Roman" w:hAnsi="Arial" w:cs="Arial"/>
          <w:lang w:eastAsia="es-MX"/>
        </w:rPr>
        <w:t xml:space="preserve">Es un programa que brida un servicio educativo, por lo que </w:t>
      </w:r>
      <w:r>
        <w:rPr>
          <w:rFonts w:ascii="Arial" w:hAnsi="Arial" w:cs="Arial"/>
        </w:rPr>
        <w:t>los procedimientos para otorgar los servicios están estandarizados, son utilizados por todas las instancias ejecutoras, se cuenta con un sistema denominado SIE Sistema de Información Educativa, son difundidos mediante las redes sociales de SEECH.</w:t>
      </w:r>
      <w:r>
        <w:rPr>
          <w:rFonts w:ascii="Arial" w:hAnsi="Arial" w:cs="Arial"/>
        </w:rPr>
        <w:br w:type="page"/>
      </w:r>
    </w:p>
    <w:p>
      <w:pPr>
        <w:pStyle w:val="titulo4"/>
      </w:pPr>
      <w:bookmarkStart w:id="39" w:name="_Toc121749448"/>
      <w:r>
        <w:lastRenderedPageBreak/>
        <w:t>6.2.2.2</w:t>
      </w:r>
      <w:r>
        <w:tab/>
        <w:t>Matriz de indicadores para Resultados</w:t>
      </w:r>
      <w:bookmarkStart w:id="40" w:name="_Toc121749449"/>
      <w:bookmarkEnd w:id="39"/>
    </w:p>
    <w:p>
      <w:pPr>
        <w:pStyle w:val="titulo4"/>
      </w:pPr>
    </w:p>
    <w:tbl>
      <w:tblPr>
        <w:tblW w:w="10915" w:type="dxa"/>
        <w:tblInd w:w="-993" w:type="dxa"/>
        <w:tblLayout w:type="fixed"/>
        <w:tblCellMar>
          <w:left w:w="70" w:type="dxa"/>
          <w:right w:w="70" w:type="dxa"/>
        </w:tblCellMar>
        <w:tblLook w:val="04A0" w:firstRow="1" w:lastRow="0" w:firstColumn="1" w:lastColumn="0" w:noHBand="0" w:noVBand="1"/>
      </w:tblPr>
      <w:tblGrid>
        <w:gridCol w:w="1287"/>
        <w:gridCol w:w="1832"/>
        <w:gridCol w:w="2976"/>
        <w:gridCol w:w="2694"/>
        <w:gridCol w:w="2126"/>
      </w:tblGrid>
      <w:tr>
        <w:trPr>
          <w:trHeight w:val="300"/>
        </w:trPr>
        <w:tc>
          <w:tcPr>
            <w:tcW w:w="10915" w:type="dxa"/>
            <w:gridSpan w:val="5"/>
            <w:tcBorders>
              <w:top w:val="nil"/>
              <w:left w:val="nil"/>
              <w:bottom w:val="nil"/>
              <w:right w:val="nil"/>
            </w:tcBorders>
            <w:shd w:val="clear" w:color="auto" w:fill="6600CC"/>
            <w:noWrap/>
            <w:vAlign w:val="center"/>
            <w:hideMark/>
          </w:tcPr>
          <w:p>
            <w:pPr>
              <w:spacing w:after="0" w:line="240" w:lineRule="auto"/>
              <w:jc w:val="center"/>
              <w:rPr>
                <w:rFonts w:ascii="Arial" w:eastAsia="Times New Roman" w:hAnsi="Arial" w:cs="Arial"/>
                <w:b/>
                <w:bCs/>
                <w:color w:val="FFFFFF"/>
                <w:lang w:val="es-MX" w:eastAsia="es-MX"/>
              </w:rPr>
            </w:pPr>
            <w:r>
              <w:rPr>
                <w:rFonts w:ascii="Arial" w:eastAsia="Times New Roman" w:hAnsi="Arial" w:cs="Arial"/>
                <w:b/>
                <w:bCs/>
                <w:color w:val="FFFFFF"/>
                <w:lang w:val="es-MX" w:eastAsia="es-MX"/>
              </w:rPr>
              <w:t xml:space="preserve">MATRIZ DE INDICADORES PARA RESULTADOS    </w:t>
            </w:r>
          </w:p>
        </w:tc>
      </w:tr>
      <w:tr>
        <w:trPr>
          <w:trHeight w:val="300"/>
        </w:trPr>
        <w:tc>
          <w:tcPr>
            <w:tcW w:w="10915" w:type="dxa"/>
            <w:gridSpan w:val="5"/>
            <w:tcBorders>
              <w:top w:val="nil"/>
              <w:left w:val="nil"/>
              <w:bottom w:val="nil"/>
              <w:right w:val="nil"/>
            </w:tcBorders>
            <w:shd w:val="clear" w:color="auto" w:fill="6600CC"/>
            <w:noWrap/>
            <w:vAlign w:val="center"/>
            <w:hideMark/>
          </w:tcPr>
          <w:p>
            <w:pPr>
              <w:spacing w:after="0" w:line="240" w:lineRule="auto"/>
              <w:jc w:val="center"/>
              <w:rPr>
                <w:rFonts w:ascii="Arial" w:eastAsia="Times New Roman" w:hAnsi="Arial" w:cs="Arial"/>
                <w:b/>
                <w:bCs/>
                <w:color w:val="FFFFFF"/>
                <w:lang w:val="es-MX" w:eastAsia="es-MX"/>
              </w:rPr>
            </w:pPr>
            <w:r>
              <w:rPr>
                <w:rFonts w:ascii="Arial" w:eastAsia="Times New Roman" w:hAnsi="Arial" w:cs="Arial"/>
                <w:b/>
                <w:bCs/>
                <w:color w:val="FFFFFF"/>
                <w:lang w:val="es-MX" w:eastAsia="es-MX"/>
              </w:rPr>
              <w:t>401- SERVICIOS EDUCATIVOS DEL ESTADO DE CHIHUAHUA</w:t>
            </w:r>
          </w:p>
        </w:tc>
      </w:tr>
      <w:tr>
        <w:trPr>
          <w:trHeight w:val="300"/>
        </w:trPr>
        <w:tc>
          <w:tcPr>
            <w:tcW w:w="10915" w:type="dxa"/>
            <w:gridSpan w:val="5"/>
            <w:tcBorders>
              <w:top w:val="nil"/>
              <w:left w:val="nil"/>
              <w:bottom w:val="nil"/>
              <w:right w:val="nil"/>
            </w:tcBorders>
            <w:shd w:val="clear" w:color="auto" w:fill="6600CC"/>
            <w:noWrap/>
            <w:vAlign w:val="center"/>
            <w:hideMark/>
          </w:tcPr>
          <w:p>
            <w:pPr>
              <w:spacing w:after="0" w:line="240" w:lineRule="auto"/>
              <w:jc w:val="center"/>
              <w:rPr>
                <w:rFonts w:ascii="Arial" w:eastAsia="Times New Roman" w:hAnsi="Arial" w:cs="Arial"/>
                <w:b/>
                <w:bCs/>
                <w:color w:val="FFFFFF"/>
                <w:lang w:val="es-MX" w:eastAsia="es-MX"/>
              </w:rPr>
            </w:pPr>
            <w:r>
              <w:rPr>
                <w:rFonts w:ascii="Arial" w:eastAsia="Times New Roman" w:hAnsi="Arial" w:cs="Arial"/>
                <w:b/>
                <w:bCs/>
                <w:color w:val="FFFFFF"/>
                <w:lang w:val="es-MX" w:eastAsia="es-MX"/>
              </w:rPr>
              <w:t>2E208C1 - SERVICIOS PARA LA CALIDAD EN EDUCACION BASICA</w:t>
            </w:r>
          </w:p>
        </w:tc>
      </w:tr>
      <w:tr>
        <w:trPr>
          <w:trHeight w:val="505"/>
        </w:trPr>
        <w:tc>
          <w:tcPr>
            <w:tcW w:w="1287"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Nivel /Referencia</w:t>
            </w:r>
          </w:p>
        </w:tc>
        <w:tc>
          <w:tcPr>
            <w:tcW w:w="1832"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976"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694"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2126"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trPr>
          <w:trHeight w:val="1380"/>
        </w:trPr>
        <w:tc>
          <w:tcPr>
            <w:tcW w:w="1287"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FIN</w:t>
            </w:r>
          </w:p>
        </w:tc>
        <w:tc>
          <w:tcPr>
            <w:tcW w:w="1832"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Contribuir a brindar los servicios educativos de calidad a los estudiantes de escuelas del Sistema Educativo Estatal, a través del desarrollo de ambientes escolares que propicien el aprendizaje, la inclusión, equidad y perspectiva de género.</w:t>
            </w: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Índice de aprobación en educación secundaria en la entidad.</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muestra la cantidad de alumnas y alumnos de secundaria con aprobación en el ciclo escolar actual.</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Datos históricos del </w:t>
            </w:r>
            <w:proofErr w:type="spellStart"/>
            <w:r>
              <w:rPr>
                <w:rFonts w:ascii="Arial" w:eastAsia="Times New Roman" w:hAnsi="Arial" w:cs="Arial"/>
                <w:color w:val="000000"/>
                <w:sz w:val="16"/>
                <w:szCs w:val="16"/>
                <w:lang w:val="es-MX" w:eastAsia="es-MX"/>
              </w:rPr>
              <w:t>Pp</w:t>
            </w:r>
            <w:proofErr w:type="spellEnd"/>
            <w:r>
              <w:rPr>
                <w:rFonts w:ascii="Arial" w:eastAsia="Times New Roman" w:hAnsi="Arial" w:cs="Arial"/>
                <w:color w:val="000000"/>
                <w:sz w:val="16"/>
                <w:szCs w:val="16"/>
                <w:lang w:val="es-MX" w:eastAsia="es-MX"/>
              </w:rPr>
              <w:t xml:space="preserve"> Servicios para la Calidad en Educación Básica, Dpto. de Seguimiento Programático y Presupuestal,</w:t>
            </w:r>
            <w:r>
              <w:rPr>
                <w:rFonts w:ascii="Arial" w:eastAsia="Times New Roman" w:hAnsi="Arial" w:cs="Arial"/>
                <w:color w:val="000000"/>
                <w:sz w:val="16"/>
                <w:szCs w:val="16"/>
                <w:lang w:val="es-MX" w:eastAsia="es-MX"/>
              </w:rPr>
              <w:br/>
              <w:t>http://seech.gob.mx/np/avisos/ejefiscal/2023/Datos_historicos_Indic_SEECH/2E208C1_CALIDAD/</w:t>
            </w:r>
            <w:r>
              <w:rPr>
                <w:rFonts w:ascii="Arial" w:eastAsia="Times New Roman" w:hAnsi="Arial" w:cs="Arial"/>
                <w:color w:val="000000"/>
                <w:sz w:val="16"/>
                <w:szCs w:val="16"/>
                <w:lang w:val="es-MX" w:eastAsia="es-MX"/>
              </w:rPr>
              <w:br/>
              <w:t xml:space="preserve">Anual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para los servicios de educación básica federal transferido.</w:t>
            </w:r>
          </w:p>
        </w:tc>
      </w:tr>
      <w:tr>
        <w:trPr>
          <w:trHeight w:val="1651"/>
        </w:trPr>
        <w:tc>
          <w:tcPr>
            <w:tcW w:w="1287"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Índice de aprobación en la Educación Primaria en la entidad.</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muestra la cantidad de alumnas y alumnos de Primaria con aprobación en el ciclo escolar actual</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Datos históricos del </w:t>
            </w:r>
            <w:proofErr w:type="spellStart"/>
            <w:r>
              <w:rPr>
                <w:rFonts w:ascii="Arial" w:eastAsia="Times New Roman" w:hAnsi="Arial" w:cs="Arial"/>
                <w:color w:val="000000"/>
                <w:sz w:val="16"/>
                <w:szCs w:val="16"/>
                <w:lang w:val="es-MX" w:eastAsia="es-MX"/>
              </w:rPr>
              <w:t>Pp</w:t>
            </w:r>
            <w:proofErr w:type="spellEnd"/>
            <w:r>
              <w:rPr>
                <w:rFonts w:ascii="Arial" w:eastAsia="Times New Roman" w:hAnsi="Arial" w:cs="Arial"/>
                <w:color w:val="000000"/>
                <w:sz w:val="16"/>
                <w:szCs w:val="16"/>
                <w:lang w:val="es-MX" w:eastAsia="es-MX"/>
              </w:rPr>
              <w:t xml:space="preserve"> Servicios para la Calidad en Educación Básica, Dpto. de Seguimiento Programático y Presupuestal</w:t>
            </w:r>
            <w:r>
              <w:rPr>
                <w:rFonts w:ascii="Arial" w:eastAsia="Times New Roman" w:hAnsi="Arial" w:cs="Arial"/>
                <w:color w:val="000000"/>
                <w:sz w:val="16"/>
                <w:szCs w:val="16"/>
                <w:lang w:val="es-MX" w:eastAsia="es-MX"/>
              </w:rPr>
              <w:br/>
              <w:t>http://seech.gob.mx/np/avisos/ejefiscal/2023/Datos_historicos_Indic_SEECH/2E208C1_CALIDAD/</w:t>
            </w:r>
            <w:r>
              <w:rPr>
                <w:rFonts w:ascii="Arial" w:eastAsia="Times New Roman" w:hAnsi="Arial" w:cs="Arial"/>
                <w:color w:val="000000"/>
                <w:sz w:val="16"/>
                <w:szCs w:val="16"/>
                <w:lang w:val="es-MX" w:eastAsia="es-MX"/>
              </w:rPr>
              <w:br/>
              <w:t xml:space="preserve"> Anual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para los servicios de educación básica federal transferido.</w:t>
            </w:r>
          </w:p>
        </w:tc>
      </w:tr>
      <w:tr>
        <w:trPr>
          <w:trHeight w:val="2121"/>
        </w:trPr>
        <w:tc>
          <w:tcPr>
            <w:tcW w:w="1287"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PROPOSITO</w:t>
            </w:r>
          </w:p>
        </w:tc>
        <w:tc>
          <w:tcPr>
            <w:tcW w:w="1832"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Las escuelas públicas de educación básica presentan ambientes escolares favorables para el aprendizaje</w:t>
            </w: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escuelas federal transferido con al menos tres aspectos de ambientes escolares favorables atendidos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escuelas beneficiadas con al menos tres aspectos de ambientes escolares favorables</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Datos históricos del </w:t>
            </w:r>
            <w:proofErr w:type="spellStart"/>
            <w:r>
              <w:rPr>
                <w:rFonts w:ascii="Arial" w:eastAsia="Times New Roman" w:hAnsi="Arial" w:cs="Arial"/>
                <w:color w:val="000000"/>
                <w:sz w:val="16"/>
                <w:szCs w:val="16"/>
                <w:lang w:val="es-MX" w:eastAsia="es-MX"/>
              </w:rPr>
              <w:t>Pp</w:t>
            </w:r>
            <w:proofErr w:type="spellEnd"/>
            <w:r>
              <w:rPr>
                <w:rFonts w:ascii="Arial" w:eastAsia="Times New Roman" w:hAnsi="Arial" w:cs="Arial"/>
                <w:color w:val="000000"/>
                <w:sz w:val="16"/>
                <w:szCs w:val="16"/>
                <w:lang w:val="es-MX" w:eastAsia="es-MX"/>
              </w:rPr>
              <w:t xml:space="preserve"> Servicios para la Calidad en Educación Básica, Dpto. de Seguimiento Programático y Presupuestal</w:t>
            </w:r>
            <w:r>
              <w:rPr>
                <w:rFonts w:ascii="Arial" w:eastAsia="Times New Roman" w:hAnsi="Arial" w:cs="Arial"/>
                <w:color w:val="000000"/>
                <w:sz w:val="16"/>
                <w:szCs w:val="16"/>
                <w:lang w:val="es-MX" w:eastAsia="es-MX"/>
              </w:rPr>
              <w:br/>
              <w:t>http://seech.gob.mx/np/avisos/ejefiscal/2023/Datos_historicos_Indic_SEECH/2E208C1_CALIDAD/</w:t>
            </w:r>
            <w:r>
              <w:rPr>
                <w:rFonts w:ascii="Arial" w:eastAsia="Times New Roman" w:hAnsi="Arial" w:cs="Arial"/>
                <w:color w:val="000000"/>
                <w:sz w:val="16"/>
                <w:szCs w:val="16"/>
                <w:lang w:val="es-MX" w:eastAsia="es-MX"/>
              </w:rPr>
              <w:br/>
              <w:t xml:space="preserve">Anual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 La infraestructura educativa, el equipamiento y los insumos necesarios para la educación se mantienen en óptimas condiciones de uso y funcionamiento ante desastres naturales o desastres provocados por acción humana.</w:t>
            </w:r>
          </w:p>
        </w:tc>
      </w:tr>
      <w:tr>
        <w:trPr>
          <w:trHeight w:val="870"/>
        </w:trPr>
        <w:tc>
          <w:tcPr>
            <w:tcW w:w="1287"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w:t>
            </w:r>
            <w:r>
              <w:rPr>
                <w:rFonts w:ascii="Arial" w:eastAsia="Times New Roman" w:hAnsi="Arial" w:cs="Arial"/>
                <w:b/>
                <w:bCs/>
                <w:color w:val="000000"/>
                <w:sz w:val="16"/>
                <w:szCs w:val="16"/>
                <w:lang w:val="es-MX" w:eastAsia="es-MX"/>
              </w:rPr>
              <w:br/>
              <w:t>C01</w:t>
            </w:r>
          </w:p>
        </w:tc>
        <w:tc>
          <w:tcPr>
            <w:tcW w:w="1832"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Servicio de distribución de libros de texto gratuitos, material didáctico y de limpieza a las escuelas públicas de educación básica realizado.</w:t>
            </w: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escuelas beneficiadas con libros de texto gratuitos.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las escuelas que fueron beneficiadas con los libros de texto gratuitos </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Escuelas beneficiadas con libros de texto gratuitos.</w:t>
            </w:r>
            <w:r>
              <w:rPr>
                <w:rFonts w:ascii="Arial" w:eastAsia="Times New Roman" w:hAnsi="Arial" w:cs="Arial"/>
                <w:color w:val="000000"/>
                <w:sz w:val="16"/>
                <w:szCs w:val="16"/>
                <w:lang w:val="es-MX" w:eastAsia="es-MX"/>
              </w:rPr>
              <w:br/>
              <w:t>Departamento de Libros de Texto.</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Los libros son liberados oportunamente por parte de la instancia que se encarga de su impresión.</w:t>
            </w:r>
          </w:p>
        </w:tc>
      </w:tr>
      <w:tr>
        <w:trPr>
          <w:trHeight w:val="1444"/>
        </w:trPr>
        <w:tc>
          <w:tcPr>
            <w:tcW w:w="1287"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paquetes de material didáctico y artículos de limpieza entregados</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número de paquetes de material didáctico y artículos de limpieza entregados</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Material didáctico y artículos de limpieza entregados</w:t>
            </w:r>
            <w:r>
              <w:rPr>
                <w:rFonts w:ascii="Arial" w:eastAsia="Times New Roman" w:hAnsi="Arial" w:cs="Arial"/>
                <w:color w:val="000000"/>
                <w:sz w:val="16"/>
                <w:szCs w:val="16"/>
                <w:lang w:val="es-MX" w:eastAsia="es-MX"/>
              </w:rPr>
              <w:br/>
              <w:t>Depto. de Recursos Materiales.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Los libros son liberados oportunamente por parte de la instancia que se encarga de su impresión.</w:t>
            </w:r>
          </w:p>
        </w:tc>
      </w:tr>
      <w:tr>
        <w:trPr>
          <w:trHeight w:val="870"/>
        </w:trPr>
        <w:tc>
          <w:tcPr>
            <w:tcW w:w="1287"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C0101</w:t>
            </w:r>
          </w:p>
        </w:tc>
        <w:tc>
          <w:tcPr>
            <w:tcW w:w="1832"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Adquisición de libros de texto para las y los alumnos de secundaria del municipio de Chihuahua</w:t>
            </w: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libros adquiridos para las y los alumnos de educación secundaria del municipio de Chihuahua.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número de libros adquiridos para cubrir las necesidades del nivel secundaria en el municipio de Chihuahua de acuerdo a selección de LTG</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Documento de libros de texto gratuitos adquiridos y solicitados.</w:t>
            </w:r>
            <w:r>
              <w:rPr>
                <w:rFonts w:ascii="Arial" w:eastAsia="Times New Roman" w:hAnsi="Arial" w:cs="Arial"/>
                <w:color w:val="000000"/>
                <w:sz w:val="16"/>
                <w:szCs w:val="16"/>
                <w:lang w:val="es-MX" w:eastAsia="es-MX"/>
              </w:rPr>
              <w:br/>
              <w:t>Depto. de libros de texto gratuitos.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del recurso financiero. Redes informáticas operando adecuadamente. </w:t>
            </w:r>
          </w:p>
        </w:tc>
      </w:tr>
      <w:tr>
        <w:trPr>
          <w:trHeight w:val="1342"/>
        </w:trPr>
        <w:tc>
          <w:tcPr>
            <w:tcW w:w="1287"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C0102</w:t>
            </w:r>
          </w:p>
        </w:tc>
        <w:tc>
          <w:tcPr>
            <w:tcW w:w="1832"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Recepción de libros de texto para las y los alumnos de Educación Básica.</w:t>
            </w: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libros de texto gratuitos de educación básica recibidos.</w:t>
            </w:r>
            <w:r>
              <w:rPr>
                <w:rFonts w:ascii="Arial" w:eastAsia="Times New Roman" w:hAnsi="Arial" w:cs="Arial"/>
                <w:color w:val="000000"/>
                <w:sz w:val="16"/>
                <w:szCs w:val="16"/>
                <w:lang w:val="es-MX" w:eastAsia="es-MX"/>
              </w:rPr>
              <w:t xml:space="preserve"> </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número de libros de educación básica recibidos para su distribución</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Registro de Libros de texto recibidos y solicitados.</w:t>
            </w:r>
            <w:r>
              <w:rPr>
                <w:rFonts w:ascii="Arial" w:eastAsia="Times New Roman" w:hAnsi="Arial" w:cs="Arial"/>
                <w:color w:val="000000"/>
                <w:sz w:val="16"/>
                <w:szCs w:val="16"/>
                <w:lang w:val="es-MX" w:eastAsia="es-MX"/>
              </w:rPr>
              <w:br/>
              <w:t>Depto. de libros de texto gratuitos.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del recurso financiero. Redes informáticas operando adecuadamente. </w:t>
            </w:r>
          </w:p>
        </w:tc>
      </w:tr>
      <w:tr>
        <w:trPr>
          <w:trHeight w:val="505"/>
        </w:trPr>
        <w:tc>
          <w:tcPr>
            <w:tcW w:w="1287"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lastRenderedPageBreak/>
              <w:t>Nivel /Referencia</w:t>
            </w:r>
          </w:p>
        </w:tc>
        <w:tc>
          <w:tcPr>
            <w:tcW w:w="1832"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976"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694"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2126"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trPr>
          <w:trHeight w:val="2328"/>
        </w:trPr>
        <w:tc>
          <w:tcPr>
            <w:tcW w:w="1287" w:type="dxa"/>
            <w:vMerge w:val="restart"/>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C0103</w:t>
            </w:r>
          </w:p>
        </w:tc>
        <w:tc>
          <w:tcPr>
            <w:tcW w:w="1832" w:type="dxa"/>
            <w:vMerge w:val="restart"/>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Adquisición de paquetes de material didáctico y de limpieza para los centros de Educación Preescolar, Primaria, Secundaria, Indígena y Especial.</w:t>
            </w: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artículos de limpieza adquiridos para los centros de Educación Preescolar, Primaria, Secundaria, Indígena y Especial.</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el número de artículos de limpieza adquiridos para los centros de Educación Preescolar, Primaria, Secundaria, Indígena y Especial </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Registro de Artículos adquiridos y establecidos.</w:t>
            </w:r>
            <w:r>
              <w:rPr>
                <w:rFonts w:ascii="Arial" w:eastAsia="Times New Roman" w:hAnsi="Arial" w:cs="Arial"/>
                <w:color w:val="000000"/>
                <w:sz w:val="16"/>
                <w:szCs w:val="16"/>
                <w:lang w:val="es-MX" w:eastAsia="es-MX"/>
              </w:rPr>
              <w:br/>
              <w:t>Depto. de Recursos Materiales.</w:t>
            </w:r>
            <w:r>
              <w:rPr>
                <w:rFonts w:ascii="Arial" w:eastAsia="Times New Roman" w:hAnsi="Arial" w:cs="Arial"/>
                <w:color w:val="000000"/>
                <w:sz w:val="16"/>
                <w:szCs w:val="16"/>
                <w:lang w:val="es-MX" w:eastAsia="es-MX"/>
              </w:rPr>
              <w:br/>
              <w:t xml:space="preserve">Anual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oportuna de los recursos financieros. Los proveedores envían oportunamente los paquetes de material didáctico y los artículos de limpieza. </w:t>
            </w:r>
          </w:p>
        </w:tc>
      </w:tr>
      <w:tr>
        <w:trPr>
          <w:trHeight w:val="2271"/>
        </w:trPr>
        <w:tc>
          <w:tcPr>
            <w:tcW w:w="1287" w:type="dxa"/>
            <w:vMerge/>
            <w:tcBorders>
              <w:top w:val="nil"/>
              <w:left w:val="nil"/>
              <w:bottom w:val="nil"/>
              <w:right w:val="nil"/>
            </w:tcBorders>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paquetes de material didáctico adquiridos para los centros de Educación Preescolar, Primaria, Secundaria, Indígena y Especial.</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el número de paquetes de material didáctico adquiridos para los centros de Educación Preescolar, Primaria, Secundaria, Indígena y Especial </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Registro de material didáctico adquirido y establecido.</w:t>
            </w:r>
            <w:r>
              <w:rPr>
                <w:rFonts w:ascii="Arial" w:eastAsia="Times New Roman" w:hAnsi="Arial" w:cs="Arial"/>
                <w:color w:val="000000"/>
                <w:sz w:val="16"/>
                <w:szCs w:val="16"/>
                <w:lang w:val="es-MX" w:eastAsia="es-MX"/>
              </w:rPr>
              <w:br/>
              <w:t>Depto. de Recursos Materiales.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oportuna de los recursos financieros. Los proveedores envían oportunamente los paquetes de material didáctico y los artículos de limpieza. </w:t>
            </w:r>
          </w:p>
        </w:tc>
      </w:tr>
      <w:tr>
        <w:trPr>
          <w:trHeight w:val="1548"/>
        </w:trPr>
        <w:tc>
          <w:tcPr>
            <w:tcW w:w="1287"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w:t>
            </w:r>
            <w:r>
              <w:rPr>
                <w:rFonts w:ascii="Arial" w:eastAsia="Times New Roman" w:hAnsi="Arial" w:cs="Arial"/>
                <w:b/>
                <w:bCs/>
                <w:color w:val="000000"/>
                <w:sz w:val="16"/>
                <w:szCs w:val="16"/>
                <w:lang w:val="es-MX" w:eastAsia="es-MX"/>
              </w:rPr>
              <w:br/>
              <w:t>C02</w:t>
            </w:r>
          </w:p>
        </w:tc>
        <w:tc>
          <w:tcPr>
            <w:tcW w:w="1832"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Servicio de mejora a centros educativos públicos otorgado.</w:t>
            </w: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centros educativos de educación básica pública con conectividad mejorada.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escuelas de educación básica pública que reciben una mejora en su conectividad</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Escuelas atendidas CETE</w:t>
            </w:r>
            <w:r>
              <w:rPr>
                <w:rFonts w:ascii="Arial" w:eastAsia="Times New Roman" w:hAnsi="Arial" w:cs="Arial"/>
                <w:color w:val="000000"/>
                <w:sz w:val="16"/>
                <w:szCs w:val="16"/>
                <w:lang w:val="es-MX" w:eastAsia="es-MX"/>
              </w:rPr>
              <w:br/>
              <w:t>CETE</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Condiciones favorables de seguridad, integridad física y acceso a zonas marginadas, rurales y serranas.  </w:t>
            </w:r>
          </w:p>
        </w:tc>
      </w:tr>
      <w:tr>
        <w:trPr>
          <w:trHeight w:val="1570"/>
        </w:trPr>
        <w:tc>
          <w:tcPr>
            <w:tcW w:w="1287"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centros educativos de educación básica pública con infraestructura mejorada.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escuelas de educación básica pública que reciben una mejora en su infraestructura</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Escuelas de Preservación de Planteles Escolares.</w:t>
            </w:r>
            <w:r>
              <w:rPr>
                <w:rFonts w:ascii="Arial" w:eastAsia="Times New Roman" w:hAnsi="Arial" w:cs="Arial"/>
                <w:color w:val="000000"/>
                <w:sz w:val="16"/>
                <w:szCs w:val="16"/>
                <w:lang w:val="es-MX" w:eastAsia="es-MX"/>
              </w:rPr>
              <w:br/>
              <w:t>Registro interno del Área de Preservación de Planteles Escolares.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Condiciones favorables de seguridad, integridad física y acceso a zonas marginadas, rurales y serranas.  </w:t>
            </w:r>
          </w:p>
        </w:tc>
      </w:tr>
      <w:tr>
        <w:trPr>
          <w:trHeight w:val="2259"/>
        </w:trPr>
        <w:tc>
          <w:tcPr>
            <w:tcW w:w="1287"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C0201</w:t>
            </w:r>
          </w:p>
        </w:tc>
        <w:tc>
          <w:tcPr>
            <w:tcW w:w="1832"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Preservación y mantenimiento de los planteles escolares de educación básica.</w:t>
            </w: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solicitudes de centros escolares, supervisiones y jefaturas con necesidades de mantenimiento y/o material para reparaciones menores atendidas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las solicitudes atendidas de centros escolares, supervisiones y jefaturas con necesidades de mantenimiento y/o material para reparaciones menores </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Solicitudes atendidas y solicitadas.</w:t>
            </w:r>
            <w:r>
              <w:rPr>
                <w:rFonts w:ascii="Arial" w:eastAsia="Times New Roman" w:hAnsi="Arial" w:cs="Arial"/>
                <w:color w:val="000000"/>
                <w:sz w:val="16"/>
                <w:szCs w:val="16"/>
                <w:lang w:val="es-MX" w:eastAsia="es-MX"/>
              </w:rPr>
              <w:br/>
              <w:t>Registro interno del Área de Preservación de Planteles Escolares.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del recurso financiero. Redes informáticas operando adecuadamente. </w:t>
            </w:r>
          </w:p>
        </w:tc>
      </w:tr>
      <w:tr>
        <w:trPr>
          <w:trHeight w:val="2134"/>
        </w:trPr>
        <w:tc>
          <w:tcPr>
            <w:tcW w:w="1287"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C0202</w:t>
            </w:r>
          </w:p>
        </w:tc>
        <w:tc>
          <w:tcPr>
            <w:tcW w:w="1832"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soporte tecnológico en los centros escolares de educación básica públicos.</w:t>
            </w: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de soporte tecnológico realizadas en los centros escolares de educación básica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soporte tecnológico realizadas en los centros escolares de educación básica federal transferido</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Acciones soporte tecnológico realizadas y solicitadas.</w:t>
            </w:r>
            <w:r>
              <w:rPr>
                <w:rFonts w:ascii="Arial" w:eastAsia="Times New Roman" w:hAnsi="Arial" w:cs="Arial"/>
                <w:color w:val="000000"/>
                <w:sz w:val="16"/>
                <w:szCs w:val="16"/>
                <w:lang w:val="es-MX" w:eastAsia="es-MX"/>
              </w:rPr>
              <w:br/>
              <w:t>CETE</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suficiente y oportuna del recurso financiero. Redes informáticas operando adecuadamente.</w:t>
            </w:r>
          </w:p>
        </w:tc>
      </w:tr>
      <w:tr>
        <w:trPr>
          <w:trHeight w:val="505"/>
        </w:trPr>
        <w:tc>
          <w:tcPr>
            <w:tcW w:w="1287"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lastRenderedPageBreak/>
              <w:t>Nivel /Referencia</w:t>
            </w:r>
          </w:p>
        </w:tc>
        <w:tc>
          <w:tcPr>
            <w:tcW w:w="1832"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976"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694"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2126" w:type="dxa"/>
            <w:tcBorders>
              <w:top w:val="nil"/>
              <w:left w:val="nil"/>
              <w:bottom w:val="nil"/>
              <w:right w:val="nil"/>
            </w:tcBorders>
            <w:shd w:val="clear" w:color="000000" w:fill="A6A6A6"/>
            <w:vAlign w:val="center"/>
            <w:hideMark/>
          </w:tcPr>
          <w:p>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trPr>
          <w:trHeight w:val="870"/>
        </w:trPr>
        <w:tc>
          <w:tcPr>
            <w:tcW w:w="1287" w:type="dxa"/>
            <w:vMerge w:val="restart"/>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w:t>
            </w:r>
            <w:r>
              <w:rPr>
                <w:rFonts w:ascii="Arial" w:eastAsia="Times New Roman" w:hAnsi="Arial" w:cs="Arial"/>
                <w:b/>
                <w:bCs/>
                <w:color w:val="000000"/>
                <w:sz w:val="16"/>
                <w:szCs w:val="16"/>
                <w:lang w:val="es-MX" w:eastAsia="es-MX"/>
              </w:rPr>
              <w:br/>
              <w:t>C03</w:t>
            </w:r>
          </w:p>
        </w:tc>
        <w:tc>
          <w:tcPr>
            <w:tcW w:w="1832" w:type="dxa"/>
            <w:vMerge w:val="restart"/>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Servicio de atención brindado a las  Asociaciones de Padres de Familia y Consejos Escolares de Participación Social registrados.</w:t>
            </w: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Promedio de Asociaciones de Padres de Familia atendidas de septiembre a diciembre.</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veces que es atendida cada Asociación de Padres de Familia registrada en el año actual.</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Asociaciones de padres de familia </w:t>
            </w:r>
            <w:proofErr w:type="spellStart"/>
            <w:r>
              <w:rPr>
                <w:rFonts w:ascii="Arial" w:eastAsia="Times New Roman" w:hAnsi="Arial" w:cs="Arial"/>
                <w:color w:val="000000"/>
                <w:sz w:val="16"/>
                <w:szCs w:val="16"/>
                <w:lang w:val="es-MX" w:eastAsia="es-MX"/>
              </w:rPr>
              <w:t>sep</w:t>
            </w:r>
            <w:proofErr w:type="spellEnd"/>
            <w:r>
              <w:rPr>
                <w:rFonts w:ascii="Arial" w:eastAsia="Times New Roman" w:hAnsi="Arial" w:cs="Arial"/>
                <w:color w:val="000000"/>
                <w:sz w:val="16"/>
                <w:szCs w:val="16"/>
                <w:lang w:val="es-MX" w:eastAsia="es-MX"/>
              </w:rPr>
              <w:t>-dic y registradas en el año</w:t>
            </w:r>
            <w:r>
              <w:rPr>
                <w:rFonts w:ascii="Arial" w:eastAsia="Times New Roman" w:hAnsi="Arial" w:cs="Arial"/>
                <w:color w:val="000000"/>
                <w:sz w:val="16"/>
                <w:szCs w:val="16"/>
                <w:lang w:val="es-MX" w:eastAsia="es-MX"/>
              </w:rPr>
              <w:br/>
              <w:t>Asociaciones de padres de familia y CEPS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Condiciones favorables de seguridad, integridad física y acceso a zonas marginadas, rurales y serranas.</w:t>
            </w:r>
          </w:p>
        </w:tc>
      </w:tr>
      <w:tr>
        <w:trPr>
          <w:trHeight w:val="870"/>
        </w:trPr>
        <w:tc>
          <w:tcPr>
            <w:tcW w:w="1287" w:type="dxa"/>
            <w:vMerge/>
            <w:tcBorders>
              <w:top w:val="nil"/>
              <w:left w:val="nil"/>
              <w:bottom w:val="nil"/>
              <w:right w:val="nil"/>
            </w:tcBorders>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Asociaciones de Padres de Familia atendidas de enero a agosto.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las Asociación de Padres de Familia atendidas actualmente </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Asociaciones de padres de familia atendidos y registrados</w:t>
            </w:r>
            <w:r>
              <w:rPr>
                <w:rFonts w:ascii="Arial" w:eastAsia="Times New Roman" w:hAnsi="Arial" w:cs="Arial"/>
                <w:color w:val="000000"/>
                <w:sz w:val="16"/>
                <w:szCs w:val="16"/>
                <w:lang w:val="es-MX" w:eastAsia="es-MX"/>
              </w:rPr>
              <w:br/>
              <w:t>Asociaciones de padres de familia y CEPS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Condiciones favorables de seguridad, integridad física y acceso a zonas marginadas, rurales y serranas.</w:t>
            </w:r>
          </w:p>
        </w:tc>
      </w:tr>
      <w:tr>
        <w:trPr>
          <w:trHeight w:val="870"/>
        </w:trPr>
        <w:tc>
          <w:tcPr>
            <w:tcW w:w="1287" w:type="dxa"/>
            <w:vMerge/>
            <w:tcBorders>
              <w:top w:val="nil"/>
              <w:left w:val="nil"/>
              <w:bottom w:val="nil"/>
              <w:right w:val="nil"/>
            </w:tcBorders>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Porcentaje de Consejos Escolares de Participación Social atendidos de enero a agosto.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los Consejos Escolares de Participación Social atendidos actualmente </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Consejos Escolares de Participación Social atendidos y registrados</w:t>
            </w:r>
            <w:r>
              <w:rPr>
                <w:rFonts w:ascii="Arial" w:eastAsia="Times New Roman" w:hAnsi="Arial" w:cs="Arial"/>
                <w:color w:val="000000"/>
                <w:sz w:val="16"/>
                <w:szCs w:val="16"/>
                <w:lang w:val="es-MX" w:eastAsia="es-MX"/>
              </w:rPr>
              <w:br/>
              <w:t>Asociaciones de padres de familia y CEPS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Condiciones favorables de seguridad, integridad física y acceso a zonas marginadas, rurales y serranas.</w:t>
            </w:r>
          </w:p>
        </w:tc>
      </w:tr>
      <w:tr>
        <w:trPr>
          <w:trHeight w:val="870"/>
        </w:trPr>
        <w:tc>
          <w:tcPr>
            <w:tcW w:w="1287"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C0301</w:t>
            </w:r>
          </w:p>
        </w:tc>
        <w:tc>
          <w:tcPr>
            <w:tcW w:w="1832" w:type="dxa"/>
            <w:vMerge w:val="restart"/>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Seguimiento a las Asociaciones de Padres de Familia con base a las asesorías iniciales y de verificación de la correcta operación.</w:t>
            </w: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Promedio de Asociaciones de Padres de Familia con asesoría inicial.</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Asociaciones de Padres de Familia por plática de asesoría inicial realizada</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Reportes de Asesoría y pláticas inicial</w:t>
            </w:r>
            <w:r>
              <w:rPr>
                <w:rFonts w:ascii="Arial" w:eastAsia="Times New Roman" w:hAnsi="Arial" w:cs="Arial"/>
                <w:color w:val="000000"/>
                <w:sz w:val="16"/>
                <w:szCs w:val="16"/>
                <w:lang w:val="es-MX" w:eastAsia="es-MX"/>
              </w:rPr>
              <w:br/>
              <w:t>Asociaciones de padres de familia y CEPS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del recurso financiero. Redes informáticas operando adecuadamente. </w:t>
            </w:r>
          </w:p>
        </w:tc>
      </w:tr>
      <w:tr>
        <w:trPr>
          <w:trHeight w:val="870"/>
        </w:trPr>
        <w:tc>
          <w:tcPr>
            <w:tcW w:w="1287"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1832" w:type="dxa"/>
            <w:vMerge/>
            <w:tcBorders>
              <w:top w:val="nil"/>
              <w:left w:val="nil"/>
              <w:bottom w:val="nil"/>
              <w:right w:val="nil"/>
            </w:tcBorders>
            <w:shd w:val="clear" w:color="auto" w:fill="E8D1FF"/>
            <w:vAlign w:val="center"/>
            <w:hideMark/>
          </w:tcPr>
          <w:p>
            <w:pPr>
              <w:spacing w:after="0" w:line="240" w:lineRule="auto"/>
              <w:rPr>
                <w:rFonts w:ascii="Arial" w:eastAsia="Times New Roman" w:hAnsi="Arial" w:cs="Arial"/>
                <w:b/>
                <w:bCs/>
                <w:color w:val="000000"/>
                <w:sz w:val="16"/>
                <w:szCs w:val="16"/>
                <w:lang w:val="es-MX" w:eastAsia="es-MX"/>
              </w:rPr>
            </w:pPr>
          </w:p>
        </w:tc>
        <w:tc>
          <w:tcPr>
            <w:tcW w:w="297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Asociaciones de Padres de Familia con documentación administrativa y contable en regla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Asociaciones de Padres de Familia con documentación administrativa y contable en regla en relación al total de Asociaciones de Padres de Familia revisadas.</w:t>
            </w:r>
          </w:p>
        </w:tc>
        <w:tc>
          <w:tcPr>
            <w:tcW w:w="2694"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Asociaciones de Padres de Familia con documentación</w:t>
            </w:r>
            <w:r>
              <w:rPr>
                <w:rFonts w:ascii="Arial" w:eastAsia="Times New Roman" w:hAnsi="Arial" w:cs="Arial"/>
                <w:color w:val="000000"/>
                <w:sz w:val="16"/>
                <w:szCs w:val="16"/>
                <w:lang w:val="es-MX" w:eastAsia="es-MX"/>
              </w:rPr>
              <w:br/>
              <w:t>Asociaciones de padres de familia y CEPS</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auto" w:fill="E8D1FF"/>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del recurso financiero. Redes informáticas operando adecuadamente. </w:t>
            </w:r>
          </w:p>
        </w:tc>
      </w:tr>
      <w:tr>
        <w:trPr>
          <w:trHeight w:val="870"/>
        </w:trPr>
        <w:tc>
          <w:tcPr>
            <w:tcW w:w="1287"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C0302</w:t>
            </w:r>
          </w:p>
        </w:tc>
        <w:tc>
          <w:tcPr>
            <w:tcW w:w="1832"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Pláticas de orientación en la operación de los Consejos Escolares de Participación Social.</w:t>
            </w:r>
          </w:p>
        </w:tc>
        <w:tc>
          <w:tcPr>
            <w:tcW w:w="297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pláticas de orientación sobre la operación de los consejos escolares de participación social (CEPS)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relación porcentual de las pláticas sobre la operación de los consejos escolares de participación social realizadas </w:t>
            </w:r>
          </w:p>
        </w:tc>
        <w:tc>
          <w:tcPr>
            <w:tcW w:w="269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Platicas realizadas y planeadas.</w:t>
            </w:r>
            <w:r>
              <w:rPr>
                <w:rFonts w:ascii="Arial" w:eastAsia="Times New Roman" w:hAnsi="Arial" w:cs="Arial"/>
                <w:color w:val="000000"/>
                <w:sz w:val="16"/>
                <w:szCs w:val="16"/>
                <w:lang w:val="es-MX" w:eastAsia="es-MX"/>
              </w:rPr>
              <w:br/>
              <w:t>Departamento de CEPS y Atención a Padres de Familia</w:t>
            </w:r>
            <w:r>
              <w:rPr>
                <w:rFonts w:ascii="Arial" w:eastAsia="Times New Roman" w:hAnsi="Arial" w:cs="Arial"/>
                <w:color w:val="000000"/>
                <w:sz w:val="16"/>
                <w:szCs w:val="16"/>
                <w:lang w:val="es-MX" w:eastAsia="es-MX"/>
              </w:rPr>
              <w:br/>
              <w:t xml:space="preserve">Mensual    </w:t>
            </w:r>
          </w:p>
        </w:tc>
        <w:tc>
          <w:tcPr>
            <w:tcW w:w="2126"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suficiente y oportuna del recurso financiero. Redes informáticas operando adecuadamente.</w:t>
            </w:r>
          </w:p>
        </w:tc>
      </w:tr>
    </w:tbl>
    <w:p>
      <w:pPr>
        <w:pStyle w:val="titulo4"/>
      </w:pPr>
    </w:p>
    <w:p>
      <w:pPr>
        <w:pStyle w:val="titulo4"/>
      </w:pPr>
    </w:p>
    <w:p>
      <w:pPr>
        <w:pStyle w:val="titulo4"/>
      </w:pPr>
    </w:p>
    <w:p>
      <w:pPr>
        <w:pStyle w:val="titulo4"/>
        <w:rPr>
          <w:i/>
          <w:sz w:val="24"/>
        </w:rPr>
      </w:pPr>
      <w:r>
        <w:rPr>
          <w:i/>
          <w:sz w:val="24"/>
        </w:rPr>
        <w:t>7. ANÁLISIS DE SIMILITUDES O COMPLEMENTARIEDADES</w:t>
      </w:r>
      <w:bookmarkEnd w:id="40"/>
    </w:p>
    <w:p>
      <w:pPr>
        <w:ind w:left="-567" w:right="-801"/>
        <w:rPr>
          <w:rFonts w:ascii="Arial" w:hAnsi="Arial" w:cs="Arial"/>
        </w:rPr>
      </w:pPr>
    </w:p>
    <w:p>
      <w:pPr>
        <w:spacing w:after="200" w:line="276" w:lineRule="auto"/>
        <w:ind w:left="-567" w:right="-801"/>
        <w:jc w:val="both"/>
        <w:rPr>
          <w:rFonts w:ascii="Arial" w:hAnsi="Arial" w:cs="Arial"/>
          <w:color w:val="0D0D0D" w:themeColor="text1" w:themeTint="F2"/>
          <w:lang w:eastAsia="es-AR"/>
        </w:rPr>
      </w:pPr>
      <w:r>
        <w:rPr>
          <w:rFonts w:ascii="Arial" w:hAnsi="Arial" w:cs="Arial"/>
          <w:color w:val="0D0D0D" w:themeColor="text1" w:themeTint="F2"/>
          <w:lang w:eastAsia="es-AR"/>
        </w:rPr>
        <w:t>Al respecto, no se detectaron casos en que haya objetivos similares entre el Pp 2E208C1 y algún otro programa presupuestario, ni que existan componentes similares o iguales en otros programas. Tampoco se identificó que exista otro programa que atienda a la misma población. Por ello, después de valorar todos estos elementos se puede señalar que no hay coincidencias con otro Pp. Respecto de las complementariedades se identificó que el Pp 2E208C1 y el 2E209C1 - Gestión para la Educación Básica, Normal y Posgrado son complementarios.</w:t>
      </w:r>
    </w:p>
    <w:p>
      <w:pPr>
        <w:spacing w:after="200" w:line="276" w:lineRule="auto"/>
        <w:ind w:left="-567" w:right="-801"/>
        <w:jc w:val="both"/>
        <w:rPr>
          <w:rFonts w:ascii="Arial" w:hAnsi="Arial" w:cs="Arial"/>
          <w:color w:val="0D0D0D" w:themeColor="text1" w:themeTint="F2"/>
          <w:lang w:eastAsia="es-AR"/>
        </w:rPr>
      </w:pPr>
    </w:p>
    <w:p>
      <w:pPr>
        <w:spacing w:after="200" w:line="276" w:lineRule="auto"/>
        <w:ind w:left="-567" w:right="-801"/>
        <w:jc w:val="both"/>
        <w:rPr>
          <w:rFonts w:ascii="Arial" w:hAnsi="Arial" w:cs="Arial"/>
          <w:color w:val="0D0D0D" w:themeColor="text1" w:themeTint="F2"/>
          <w:lang w:eastAsia="es-AR"/>
        </w:rPr>
      </w:pPr>
    </w:p>
    <w:p>
      <w:pPr>
        <w:pStyle w:val="Ttulo1"/>
        <w:spacing w:line="256" w:lineRule="auto"/>
        <w:ind w:right="-801"/>
        <w:rPr>
          <w:rFonts w:ascii="Arial" w:hAnsi="Arial" w:cs="Arial"/>
          <w:i/>
          <w:sz w:val="24"/>
        </w:rPr>
      </w:pPr>
      <w:bookmarkStart w:id="41" w:name="_Toc121749450"/>
      <w:r>
        <w:rPr>
          <w:rFonts w:ascii="Arial" w:hAnsi="Arial" w:cs="Arial"/>
          <w:i/>
          <w:sz w:val="24"/>
        </w:rPr>
        <w:t>8. PRESUPUESTO</w:t>
      </w:r>
      <w:bookmarkEnd w:id="41"/>
    </w:p>
    <w:p>
      <w:pPr>
        <w:pStyle w:val="Ttulo2"/>
        <w:numPr>
          <w:ilvl w:val="1"/>
          <w:numId w:val="120"/>
        </w:numPr>
        <w:ind w:right="-801" w:hanging="501"/>
        <w:rPr>
          <w:rFonts w:ascii="Arial" w:hAnsi="Arial" w:cs="Arial"/>
        </w:rPr>
      </w:pPr>
      <w:bookmarkStart w:id="42" w:name="_Toc121749451"/>
      <w:r>
        <w:rPr>
          <w:rFonts w:ascii="Arial" w:hAnsi="Arial" w:cs="Arial"/>
        </w:rPr>
        <w:t>Impacto presupuestario y fuentes de financiamiento</w:t>
      </w:r>
      <w:bookmarkEnd w:id="42"/>
      <w:r>
        <w:rPr>
          <w:rFonts w:ascii="Arial" w:hAnsi="Arial" w:cs="Arial"/>
        </w:rPr>
        <w:t xml:space="preserve"> </w:t>
      </w:r>
    </w:p>
    <w:p>
      <w:pPr>
        <w:ind w:left="-567" w:right="-801"/>
        <w:jc w:val="both"/>
        <w:rPr>
          <w:rFonts w:ascii="Arial" w:hAnsi="Arial" w:cs="Arial"/>
          <w:lang w:val="es-MX" w:eastAsia="zh-CN"/>
        </w:rPr>
      </w:pPr>
      <w:r>
        <w:rPr>
          <w:rFonts w:ascii="Arial" w:hAnsi="Arial" w:cs="Arial"/>
          <w:color w:val="0D0D0D" w:themeColor="text1" w:themeTint="F2"/>
          <w:lang w:eastAsia="es-AR"/>
        </w:rPr>
        <w:t xml:space="preserve">En relación al aporte del recurso con fuente federal proveniente del ramo 33 del año 2021 al 2022 disminuyó un 0.15 por ciento y con fuente estatal aumentó un 0.15 por ciento. El incremento de la fuente federal con respecto al año anterior fue de </w:t>
      </w:r>
      <w:r>
        <w:rPr>
          <w:rFonts w:ascii="Arial" w:hAnsi="Arial" w:cs="Arial"/>
          <w:lang w:val="es-MX" w:eastAsia="zh-CN"/>
        </w:rPr>
        <w:t>8.14 por ciento y del recurso estatal de 29.52 por ciento.</w:t>
      </w:r>
    </w:p>
    <w:p>
      <w:pPr>
        <w:spacing w:after="0" w:line="240" w:lineRule="auto"/>
        <w:ind w:left="-567" w:right="-801"/>
        <w:rPr>
          <w:rFonts w:ascii="Arial" w:eastAsia="Times New Roman" w:hAnsi="Arial" w:cs="Arial"/>
          <w:b/>
          <w:bCs/>
          <w:color w:val="000000"/>
          <w:lang w:val="es-MX" w:eastAsia="es-MX"/>
        </w:rPr>
      </w:pPr>
      <w:r>
        <w:rPr>
          <w:rFonts w:ascii="Arial" w:eastAsia="Times New Roman" w:hAnsi="Arial" w:cs="Arial"/>
          <w:b/>
          <w:bCs/>
          <w:color w:val="000000"/>
          <w:lang w:val="es-MX" w:eastAsia="es-MX"/>
        </w:rPr>
        <w:t>Fuentes y origen de los recursos correspondientes a los ejercicios 2021 al  2023:</w:t>
      </w:r>
    </w:p>
    <w:p>
      <w:pPr>
        <w:ind w:left="-567" w:right="-801"/>
        <w:jc w:val="both"/>
        <w:rPr>
          <w:rFonts w:ascii="Arial" w:hAnsi="Arial" w:cs="Arial"/>
          <w:lang w:val="es-MX" w:eastAsia="zh-CN"/>
        </w:rPr>
      </w:pPr>
    </w:p>
    <w:tbl>
      <w:tblPr>
        <w:tblW w:w="10506" w:type="dxa"/>
        <w:tblInd w:w="-872" w:type="dxa"/>
        <w:tblLook w:val="04A0" w:firstRow="1" w:lastRow="0" w:firstColumn="1" w:lastColumn="0" w:noHBand="0" w:noVBand="1"/>
      </w:tblPr>
      <w:tblGrid>
        <w:gridCol w:w="1000"/>
        <w:gridCol w:w="3553"/>
        <w:gridCol w:w="1701"/>
        <w:gridCol w:w="1701"/>
        <w:gridCol w:w="1559"/>
        <w:gridCol w:w="992"/>
      </w:tblGrid>
      <w:tr>
        <w:trPr>
          <w:trHeight w:val="675"/>
        </w:trPr>
        <w:tc>
          <w:tcPr>
            <w:tcW w:w="1000" w:type="dxa"/>
            <w:tcBorders>
              <w:top w:val="single" w:sz="4" w:space="0" w:color="auto"/>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3553"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Fuente</w:t>
            </w:r>
            <w:proofErr w:type="spellEnd"/>
            <w:r>
              <w:rPr>
                <w:rFonts w:ascii="Calibri" w:eastAsia="Times New Roman" w:hAnsi="Calibri" w:cs="Calibri"/>
                <w:color w:val="FFFFFF"/>
                <w:lang w:val="en-US"/>
              </w:rPr>
              <w:t xml:space="preserve"> de </w:t>
            </w:r>
            <w:proofErr w:type="spellStart"/>
            <w:r>
              <w:rPr>
                <w:rFonts w:ascii="Calibri" w:eastAsia="Times New Roman" w:hAnsi="Calibri" w:cs="Calibri"/>
                <w:color w:val="FFFFFF"/>
                <w:lang w:val="en-US"/>
              </w:rPr>
              <w:t>Financiamiento</w:t>
            </w:r>
            <w:proofErr w:type="spellEnd"/>
          </w:p>
        </w:tc>
        <w:tc>
          <w:tcPr>
            <w:tcW w:w="170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Autorizado</w:t>
            </w:r>
            <w:proofErr w:type="spellEnd"/>
          </w:p>
        </w:tc>
        <w:tc>
          <w:tcPr>
            <w:tcW w:w="170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Modificado</w:t>
            </w:r>
            <w:proofErr w:type="spellEnd"/>
          </w:p>
        </w:tc>
        <w:tc>
          <w:tcPr>
            <w:tcW w:w="1559"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Ejercido</w:t>
            </w:r>
            <w:proofErr w:type="spellEnd"/>
            <w:r>
              <w:rPr>
                <w:rFonts w:ascii="Calibri" w:eastAsia="Times New Roman" w:hAnsi="Calibri" w:cs="Calibri"/>
                <w:color w:val="FFFFFF"/>
                <w:lang w:val="en-US"/>
              </w:rPr>
              <w:t xml:space="preserve">  (2021)</w:t>
            </w:r>
          </w:p>
        </w:tc>
        <w:tc>
          <w:tcPr>
            <w:tcW w:w="99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trPr>
          <w:trHeight w:val="300"/>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2021</w:t>
            </w:r>
          </w:p>
        </w:tc>
        <w:tc>
          <w:tcPr>
            <w:tcW w:w="3553"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en-US"/>
              </w:rPr>
              <w:t>Recursos</w:t>
            </w:r>
            <w:proofErr w:type="spellEnd"/>
            <w:r>
              <w:rPr>
                <w:rFonts w:ascii="Calibri" w:eastAsia="Times New Roman" w:hAnsi="Calibri" w:cs="Calibri"/>
                <w:color w:val="000000"/>
                <w:sz w:val="16"/>
                <w:szCs w:val="16"/>
                <w:lang w:val="en-US"/>
              </w:rPr>
              <w:t xml:space="preserve"> del Estado 2021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3,566,446.65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18,269,272.93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18,269,259.29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100.00%</w:t>
            </w:r>
          </w:p>
        </w:tc>
      </w:tr>
      <w:tr>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Recursos de Terceros para Recurso Estatales 2021</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n-US"/>
              </w:rPr>
              <w:t xml:space="preserve">2,200,000.00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2,187,924.36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99.45%</w:t>
            </w:r>
          </w:p>
        </w:tc>
      </w:tr>
      <w:tr>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y Normal 2020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n-US"/>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30,341,243.26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30,341,243.26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100.00%</w:t>
            </w:r>
          </w:p>
        </w:tc>
      </w:tr>
      <w:tr>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y Normal 2021</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n-US"/>
              </w:rPr>
              <w:t xml:space="preserve">483,458,952.09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507,540,352.91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507,540,342.06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100.00%</w:t>
            </w:r>
          </w:p>
        </w:tc>
      </w:tr>
      <w:tr>
        <w:trPr>
          <w:trHeight w:val="300"/>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Total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487,025,398.74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558,350,869.10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558,338,768.97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100.00%</w:t>
            </w:r>
          </w:p>
        </w:tc>
      </w:tr>
      <w:tr>
        <w:trPr>
          <w:trHeight w:val="300"/>
        </w:trPr>
        <w:tc>
          <w:tcPr>
            <w:tcW w:w="100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b/>
                <w:bCs/>
                <w:color w:val="000000"/>
                <w:sz w:val="18"/>
                <w:szCs w:val="18"/>
                <w:lang w:val="en-US"/>
              </w:rPr>
            </w:pPr>
          </w:p>
        </w:tc>
        <w:tc>
          <w:tcPr>
            <w:tcW w:w="355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55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r>
      <w:tr>
        <w:trPr>
          <w:trHeight w:val="675"/>
        </w:trPr>
        <w:tc>
          <w:tcPr>
            <w:tcW w:w="1000"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3553"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Fuente</w:t>
            </w:r>
            <w:proofErr w:type="spellEnd"/>
            <w:r>
              <w:rPr>
                <w:rFonts w:ascii="Calibri" w:eastAsia="Times New Roman" w:hAnsi="Calibri" w:cs="Calibri"/>
                <w:color w:val="FFFFFF"/>
                <w:lang w:val="en-US"/>
              </w:rPr>
              <w:t xml:space="preserve"> de </w:t>
            </w:r>
            <w:proofErr w:type="spellStart"/>
            <w:r>
              <w:rPr>
                <w:rFonts w:ascii="Calibri" w:eastAsia="Times New Roman" w:hAnsi="Calibri" w:cs="Calibri"/>
                <w:color w:val="FFFFFF"/>
                <w:lang w:val="en-US"/>
              </w:rPr>
              <w:t>Financiamiento</w:t>
            </w:r>
            <w:proofErr w:type="spellEnd"/>
          </w:p>
        </w:tc>
        <w:tc>
          <w:tcPr>
            <w:tcW w:w="170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Autorizado</w:t>
            </w:r>
            <w:proofErr w:type="spellEnd"/>
          </w:p>
        </w:tc>
        <w:tc>
          <w:tcPr>
            <w:tcW w:w="170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Modificado</w:t>
            </w:r>
            <w:proofErr w:type="spellEnd"/>
          </w:p>
        </w:tc>
        <w:tc>
          <w:tcPr>
            <w:tcW w:w="1559"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Ejercido</w:t>
            </w:r>
            <w:proofErr w:type="spellEnd"/>
            <w:r>
              <w:rPr>
                <w:rFonts w:ascii="Calibri" w:eastAsia="Times New Roman" w:hAnsi="Calibri" w:cs="Calibri"/>
                <w:color w:val="FFFFFF"/>
                <w:lang w:val="en-US"/>
              </w:rPr>
              <w:t xml:space="preserve">  (2022)</w:t>
            </w:r>
          </w:p>
        </w:tc>
        <w:tc>
          <w:tcPr>
            <w:tcW w:w="99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trPr>
          <w:trHeight w:val="300"/>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2022</w:t>
            </w:r>
          </w:p>
        </w:tc>
        <w:tc>
          <w:tcPr>
            <w:tcW w:w="3553"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en-US"/>
              </w:rPr>
              <w:t>Recursos</w:t>
            </w:r>
            <w:proofErr w:type="spellEnd"/>
            <w:r>
              <w:rPr>
                <w:rFonts w:ascii="Calibri" w:eastAsia="Times New Roman" w:hAnsi="Calibri" w:cs="Calibri"/>
                <w:color w:val="000000"/>
                <w:sz w:val="16"/>
                <w:szCs w:val="16"/>
                <w:lang w:val="en-US"/>
              </w:rPr>
              <w:t xml:space="preserve"> del Estado 2022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4,619,322.00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15,368,601.00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15,368,581.05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100.00%</w:t>
            </w:r>
          </w:p>
        </w:tc>
      </w:tr>
      <w:tr>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y Normal 2021</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n-US"/>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31,630,110.03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31,630,110.03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100.00%</w:t>
            </w:r>
          </w:p>
        </w:tc>
      </w:tr>
      <w:tr>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y Normal 2022</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n-US"/>
              </w:rPr>
              <w:t xml:space="preserve">522,794,204.00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546,848,074.23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546,847,885.22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100.00%</w:t>
            </w:r>
          </w:p>
        </w:tc>
      </w:tr>
      <w:tr>
        <w:trPr>
          <w:trHeight w:val="300"/>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Total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527,413,526.00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593,846,785.26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593,846,576.30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100.00%</w:t>
            </w:r>
          </w:p>
        </w:tc>
      </w:tr>
      <w:tr>
        <w:trPr>
          <w:trHeight w:val="300"/>
        </w:trPr>
        <w:tc>
          <w:tcPr>
            <w:tcW w:w="100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b/>
                <w:bCs/>
                <w:color w:val="000000"/>
                <w:sz w:val="18"/>
                <w:szCs w:val="18"/>
                <w:lang w:val="en-US"/>
              </w:rPr>
            </w:pPr>
          </w:p>
        </w:tc>
        <w:tc>
          <w:tcPr>
            <w:tcW w:w="355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55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r>
      <w:tr>
        <w:trPr>
          <w:trHeight w:val="675"/>
        </w:trPr>
        <w:tc>
          <w:tcPr>
            <w:tcW w:w="1000"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3553"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Fuente</w:t>
            </w:r>
            <w:proofErr w:type="spellEnd"/>
            <w:r>
              <w:rPr>
                <w:rFonts w:ascii="Calibri" w:eastAsia="Times New Roman" w:hAnsi="Calibri" w:cs="Calibri"/>
                <w:color w:val="FFFFFF"/>
                <w:lang w:val="en-US"/>
              </w:rPr>
              <w:t xml:space="preserve"> de </w:t>
            </w:r>
            <w:proofErr w:type="spellStart"/>
            <w:r>
              <w:rPr>
                <w:rFonts w:ascii="Calibri" w:eastAsia="Times New Roman" w:hAnsi="Calibri" w:cs="Calibri"/>
                <w:color w:val="FFFFFF"/>
                <w:lang w:val="en-US"/>
              </w:rPr>
              <w:t>Financiamiento</w:t>
            </w:r>
            <w:proofErr w:type="spellEnd"/>
          </w:p>
        </w:tc>
        <w:tc>
          <w:tcPr>
            <w:tcW w:w="170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Autorizado</w:t>
            </w:r>
            <w:proofErr w:type="spellEnd"/>
          </w:p>
        </w:tc>
        <w:tc>
          <w:tcPr>
            <w:tcW w:w="170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Modificado</w:t>
            </w:r>
            <w:proofErr w:type="spellEnd"/>
          </w:p>
        </w:tc>
        <w:tc>
          <w:tcPr>
            <w:tcW w:w="1559"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8"/>
                <w:szCs w:val="18"/>
                <w:lang w:val="en-US"/>
              </w:rPr>
            </w:pPr>
            <w:proofErr w:type="spellStart"/>
            <w:r>
              <w:rPr>
                <w:rFonts w:ascii="Calibri" w:eastAsia="Times New Roman" w:hAnsi="Calibri" w:cs="Calibri"/>
                <w:color w:val="FFFFFF"/>
                <w:sz w:val="18"/>
                <w:szCs w:val="18"/>
                <w:lang w:val="en-US"/>
              </w:rPr>
              <w:t>Ejercido</w:t>
            </w:r>
            <w:proofErr w:type="spellEnd"/>
            <w:r>
              <w:rPr>
                <w:rFonts w:ascii="Calibri" w:eastAsia="Times New Roman" w:hAnsi="Calibri" w:cs="Calibri"/>
                <w:color w:val="FFFFFF"/>
                <w:sz w:val="18"/>
                <w:szCs w:val="18"/>
                <w:lang w:val="en-US"/>
              </w:rPr>
              <w:t xml:space="preserve"> </w:t>
            </w:r>
            <w:r>
              <w:rPr>
                <w:rFonts w:ascii="Calibri" w:eastAsia="Times New Roman" w:hAnsi="Calibri" w:cs="Calibri"/>
                <w:color w:val="FFFFFF"/>
                <w:sz w:val="18"/>
                <w:szCs w:val="18"/>
                <w:lang w:val="en-US"/>
              </w:rPr>
              <w:br/>
              <w:t>(Jul-2023)</w:t>
            </w:r>
          </w:p>
        </w:tc>
        <w:tc>
          <w:tcPr>
            <w:tcW w:w="99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trPr>
          <w:trHeight w:val="300"/>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2023</w:t>
            </w:r>
          </w:p>
        </w:tc>
        <w:tc>
          <w:tcPr>
            <w:tcW w:w="3553"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en-US"/>
              </w:rPr>
              <w:t>Recursos</w:t>
            </w:r>
            <w:proofErr w:type="spellEnd"/>
            <w:r>
              <w:rPr>
                <w:rFonts w:ascii="Calibri" w:eastAsia="Times New Roman" w:hAnsi="Calibri" w:cs="Calibri"/>
                <w:color w:val="000000"/>
                <w:sz w:val="16"/>
                <w:szCs w:val="16"/>
                <w:lang w:val="en-US"/>
              </w:rPr>
              <w:t xml:space="preserve"> del Estado 2023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7,052,788.13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4,798,348.38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1,098,931.68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22.90%</w:t>
            </w:r>
          </w:p>
        </w:tc>
      </w:tr>
      <w:tr>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y Normal 2023</w:t>
            </w:r>
          </w:p>
        </w:tc>
        <w:tc>
          <w:tcPr>
            <w:tcW w:w="1701"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 xml:space="preserve">          </w:t>
            </w:r>
            <w:r>
              <w:rPr>
                <w:rFonts w:ascii="Calibri" w:eastAsia="Times New Roman" w:hAnsi="Calibri" w:cs="Calibri"/>
                <w:color w:val="000000"/>
                <w:sz w:val="16"/>
                <w:szCs w:val="16"/>
                <w:lang w:val="en-US"/>
              </w:rPr>
              <w:t xml:space="preserve">61,564,021.00 </w:t>
            </w:r>
          </w:p>
        </w:tc>
        <w:tc>
          <w:tcPr>
            <w:tcW w:w="1701"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64,513,733.73 </w:t>
            </w:r>
          </w:p>
        </w:tc>
        <w:tc>
          <w:tcPr>
            <w:tcW w:w="1559"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33,493,392.41 </w:t>
            </w:r>
          </w:p>
        </w:tc>
        <w:tc>
          <w:tcPr>
            <w:tcW w:w="9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51.92%</w:t>
            </w:r>
          </w:p>
        </w:tc>
      </w:tr>
      <w:tr>
        <w:trPr>
          <w:trHeight w:val="300"/>
        </w:trPr>
        <w:tc>
          <w:tcPr>
            <w:tcW w:w="10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355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Total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68,616,809.13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69,312,082.11 </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          34,592,324.09 </w:t>
            </w:r>
          </w:p>
        </w:tc>
        <w:tc>
          <w:tcPr>
            <w:tcW w:w="9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49.91%</w:t>
            </w:r>
          </w:p>
        </w:tc>
      </w:tr>
    </w:tbl>
    <w:p>
      <w:pPr>
        <w:ind w:left="-567" w:right="-801"/>
        <w:jc w:val="both"/>
        <w:rPr>
          <w:rFonts w:ascii="Arial" w:hAnsi="Arial" w:cs="Arial"/>
          <w:color w:val="0D0D0D" w:themeColor="text1" w:themeTint="F2"/>
          <w:lang w:eastAsia="es-AR"/>
        </w:rPr>
      </w:pPr>
    </w:p>
    <w:p>
      <w:pPr>
        <w:spacing w:after="0" w:line="240" w:lineRule="auto"/>
        <w:ind w:left="-567" w:right="-801"/>
        <w:rPr>
          <w:rFonts w:ascii="Arial" w:eastAsia="Times New Roman" w:hAnsi="Arial" w:cs="Arial"/>
          <w:b/>
          <w:bCs/>
          <w:color w:val="000000"/>
          <w:lang w:val="es-MX" w:eastAsia="es-MX"/>
        </w:rPr>
      </w:pPr>
    </w:p>
    <w:p>
      <w:pPr>
        <w:spacing w:line="276" w:lineRule="auto"/>
        <w:ind w:left="-567" w:right="-801"/>
        <w:rPr>
          <w:rFonts w:ascii="Arial" w:hAnsi="Arial" w:cs="Arial"/>
          <w:sz w:val="4"/>
          <w:lang w:val="es-MX"/>
        </w:rPr>
      </w:pPr>
    </w:p>
    <w:p>
      <w:pPr>
        <w:spacing w:line="276" w:lineRule="auto"/>
        <w:ind w:left="-567" w:right="-801"/>
        <w:rPr>
          <w:rFonts w:ascii="Arial" w:hAnsi="Arial" w:cs="Arial"/>
          <w:lang w:val="es-MX"/>
        </w:rPr>
      </w:pPr>
    </w:p>
    <w:p>
      <w:pPr>
        <w:spacing w:line="276" w:lineRule="auto"/>
        <w:ind w:left="-567" w:right="-801"/>
        <w:rPr>
          <w:rFonts w:ascii="Arial" w:hAnsi="Arial" w:cs="Arial"/>
          <w:lang w:val="es-MX"/>
        </w:rPr>
      </w:pPr>
    </w:p>
    <w:p>
      <w:pPr>
        <w:pStyle w:val="Ttulo1"/>
        <w:spacing w:line="256" w:lineRule="auto"/>
        <w:ind w:left="-567" w:right="-801"/>
        <w:rPr>
          <w:rFonts w:ascii="Arial" w:hAnsi="Arial" w:cs="Arial"/>
          <w:i/>
          <w:sz w:val="24"/>
        </w:rPr>
      </w:pPr>
      <w:bookmarkStart w:id="43" w:name="_Toc121749452"/>
      <w:r>
        <w:rPr>
          <w:rFonts w:ascii="Arial" w:hAnsi="Arial" w:cs="Arial"/>
          <w:i/>
          <w:sz w:val="24"/>
        </w:rPr>
        <w:lastRenderedPageBreak/>
        <w:t>ANEXO I. FICHA CON DATOS GENERALES DEL PROGRAMA PROPUESTO O CON CAMBIOS SUSTANCIALES</w:t>
      </w:r>
      <w:bookmarkEnd w:id="43"/>
    </w:p>
    <w:p>
      <w:pPr>
        <w:ind w:left="-567" w:right="-801"/>
        <w:rPr>
          <w:rFonts w:ascii="Arial" w:hAnsi="Arial" w:cs="Arial"/>
          <w:sz w:val="12"/>
        </w:rPr>
      </w:pPr>
    </w:p>
    <w:p>
      <w:pPr>
        <w:autoSpaceDE w:val="0"/>
        <w:autoSpaceDN w:val="0"/>
        <w:adjustRightInd w:val="0"/>
        <w:spacing w:after="0" w:line="240" w:lineRule="auto"/>
        <w:ind w:left="-567" w:right="-801"/>
        <w:rPr>
          <w:rFonts w:ascii="Arial" w:hAnsi="Arial" w:cs="Arial"/>
          <w:color w:val="0D0D0D" w:themeColor="text1" w:themeTint="F2"/>
          <w:lang w:eastAsia="es-AR"/>
        </w:rPr>
      </w:pPr>
      <w:r>
        <w:rPr>
          <w:rFonts w:ascii="Arial" w:hAnsi="Arial" w:cs="Arial"/>
          <w:b/>
          <w:color w:val="0D0D0D" w:themeColor="text1" w:themeTint="F2"/>
          <w:lang w:eastAsia="es-AR"/>
        </w:rPr>
        <w:t xml:space="preserve">Modalidad del Programa: </w:t>
      </w:r>
      <w:r>
        <w:rPr>
          <w:rFonts w:ascii="Arial" w:hAnsi="Arial" w:cs="Arial"/>
        </w:rPr>
        <w:t>“E” - Prestación de Servicios Públicos.</w:t>
      </w:r>
    </w:p>
    <w:p>
      <w:pPr>
        <w:autoSpaceDE w:val="0"/>
        <w:autoSpaceDN w:val="0"/>
        <w:adjustRightInd w:val="0"/>
        <w:spacing w:after="0" w:line="240" w:lineRule="auto"/>
        <w:ind w:left="-567" w:right="-801"/>
        <w:rPr>
          <w:rFonts w:ascii="Arial" w:hAnsi="Arial" w:cs="Arial"/>
          <w:color w:val="0D0D0D" w:themeColor="text1" w:themeTint="F2"/>
          <w:lang w:eastAsia="es-AR"/>
        </w:rPr>
      </w:pPr>
    </w:p>
    <w:p>
      <w:pPr>
        <w:autoSpaceDE w:val="0"/>
        <w:autoSpaceDN w:val="0"/>
        <w:adjustRightInd w:val="0"/>
        <w:spacing w:after="0" w:line="240" w:lineRule="auto"/>
        <w:ind w:left="-567" w:right="-801"/>
        <w:rPr>
          <w:rFonts w:ascii="Arial" w:hAnsi="Arial" w:cs="Arial"/>
          <w:color w:val="0D0D0D" w:themeColor="text1" w:themeTint="F2"/>
          <w:lang w:eastAsia="es-AR"/>
        </w:rPr>
      </w:pPr>
      <w:r>
        <w:rPr>
          <w:rFonts w:ascii="Arial" w:hAnsi="Arial" w:cs="Arial"/>
          <w:b/>
          <w:color w:val="0D0D0D" w:themeColor="text1" w:themeTint="F2"/>
          <w:lang w:eastAsia="es-AR"/>
        </w:rPr>
        <w:t>Denominación del Programa:</w:t>
      </w:r>
      <w:r>
        <w:rPr>
          <w:rFonts w:ascii="Arial" w:hAnsi="Arial" w:cs="Arial"/>
          <w:color w:val="0D0D0D" w:themeColor="text1" w:themeTint="F2"/>
          <w:lang w:eastAsia="es-AR"/>
        </w:rPr>
        <w:t xml:space="preserve"> 2E208C1 “Calidad en los Servicios de la Educación Básica”. </w:t>
      </w:r>
    </w:p>
    <w:p>
      <w:pPr>
        <w:autoSpaceDE w:val="0"/>
        <w:autoSpaceDN w:val="0"/>
        <w:adjustRightInd w:val="0"/>
        <w:spacing w:after="0" w:line="240" w:lineRule="auto"/>
        <w:ind w:left="-567" w:right="-801"/>
        <w:rPr>
          <w:rFonts w:ascii="Arial" w:hAnsi="Arial" w:cs="Arial"/>
          <w:color w:val="0D0D0D" w:themeColor="text1" w:themeTint="F2"/>
          <w:lang w:eastAsia="es-AR"/>
        </w:rPr>
      </w:pPr>
    </w:p>
    <w:p>
      <w:pPr>
        <w:autoSpaceDE w:val="0"/>
        <w:autoSpaceDN w:val="0"/>
        <w:adjustRightInd w:val="0"/>
        <w:spacing w:after="0" w:line="240" w:lineRule="auto"/>
        <w:ind w:left="-567" w:right="-801"/>
        <w:rPr>
          <w:rFonts w:ascii="Arial" w:hAnsi="Arial" w:cs="Arial"/>
          <w:b/>
          <w:color w:val="0D0D0D" w:themeColor="text1" w:themeTint="F2"/>
          <w:lang w:eastAsia="es-AR"/>
        </w:rPr>
      </w:pPr>
      <w:r>
        <w:rPr>
          <w:rFonts w:ascii="Arial" w:hAnsi="Arial" w:cs="Arial"/>
          <w:b/>
          <w:color w:val="0D0D0D" w:themeColor="text1" w:themeTint="F2"/>
          <w:lang w:eastAsia="es-AR"/>
        </w:rPr>
        <w:t>Unidades Administrativas Responsables (UR) del Programa</w:t>
      </w:r>
    </w:p>
    <w:p>
      <w:pPr>
        <w:autoSpaceDE w:val="0"/>
        <w:autoSpaceDN w:val="0"/>
        <w:adjustRightInd w:val="0"/>
        <w:spacing w:after="0" w:line="240" w:lineRule="auto"/>
        <w:ind w:left="-567" w:right="-801"/>
        <w:rPr>
          <w:rFonts w:ascii="Arial" w:hAnsi="Arial" w:cs="Arial"/>
          <w:color w:val="0D0D0D" w:themeColor="text1" w:themeTint="F2"/>
          <w:lang w:eastAsia="es-AR"/>
        </w:rPr>
      </w:pPr>
    </w:p>
    <w:tbl>
      <w:tblPr>
        <w:tblStyle w:val="Tablaconcuadrcula"/>
        <w:tblW w:w="10065" w:type="dxa"/>
        <w:jc w:val="center"/>
        <w:tblLayout w:type="fixed"/>
        <w:tblLook w:val="04A0" w:firstRow="1" w:lastRow="0" w:firstColumn="1" w:lastColumn="0" w:noHBand="0" w:noVBand="1"/>
      </w:tblPr>
      <w:tblGrid>
        <w:gridCol w:w="2127"/>
        <w:gridCol w:w="7938"/>
      </w:tblGrid>
      <w:tr>
        <w:trPr>
          <w:trHeight w:val="312"/>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spacing w:line="276" w:lineRule="auto"/>
              <w:ind w:right="39"/>
              <w:jc w:val="center"/>
              <w:rPr>
                <w:rFonts w:ascii="Arial" w:eastAsia="Times New Roman" w:hAnsi="Arial" w:cs="Arial"/>
                <w:b/>
                <w:color w:val="FFFFFF" w:themeColor="background1"/>
                <w:szCs w:val="18"/>
                <w:lang w:eastAsia="es-MX"/>
              </w:rPr>
            </w:pPr>
            <w:r>
              <w:rPr>
                <w:rFonts w:ascii="Arial" w:eastAsia="Times New Roman" w:hAnsi="Arial" w:cs="Arial"/>
                <w:b/>
                <w:color w:val="FFFFFF" w:themeColor="background1"/>
                <w:szCs w:val="18"/>
                <w:lang w:eastAsia="es-MX"/>
              </w:rPr>
              <w:t>DENOMINACIÓN DE LA UR</w:t>
            </w:r>
          </w:p>
        </w:tc>
        <w:tc>
          <w:tcPr>
            <w:tcW w:w="7938"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spacing w:line="276" w:lineRule="auto"/>
              <w:jc w:val="center"/>
              <w:rPr>
                <w:rFonts w:ascii="Arial" w:eastAsia="Times New Roman" w:hAnsi="Arial" w:cs="Arial"/>
                <w:b/>
                <w:color w:val="FFFFFF" w:themeColor="background1"/>
                <w:szCs w:val="18"/>
                <w:lang w:eastAsia="es-MX"/>
              </w:rPr>
            </w:pPr>
            <w:r>
              <w:rPr>
                <w:rFonts w:ascii="Arial" w:eastAsia="Times New Roman" w:hAnsi="Arial" w:cs="Arial"/>
                <w:b/>
                <w:color w:val="FFFFFF" w:themeColor="background1"/>
                <w:szCs w:val="18"/>
                <w:lang w:eastAsia="es-MX"/>
              </w:rPr>
              <w:t>FUNCIONES</w:t>
            </w:r>
          </w:p>
        </w:tc>
      </w:tr>
      <w:tr>
        <w:trPr>
          <w:jc w:val="center"/>
        </w:trPr>
        <w:tc>
          <w:tcPr>
            <w:tcW w:w="2127" w:type="dxa"/>
            <w:tcBorders>
              <w:top w:val="single" w:sz="4" w:space="0" w:color="auto"/>
              <w:left w:val="single" w:sz="4" w:space="0" w:color="auto"/>
              <w:bottom w:val="single" w:sz="4" w:space="0" w:color="auto"/>
              <w:right w:val="single" w:sz="4" w:space="0" w:color="auto"/>
            </w:tcBorders>
            <w:hideMark/>
          </w:tcPr>
          <w:p>
            <w:pPr>
              <w:spacing w:after="240" w:line="276" w:lineRule="auto"/>
              <w:ind w:right="39"/>
              <w:rPr>
                <w:rFonts w:ascii="Arial" w:eastAsia="Times New Roman" w:hAnsi="Arial" w:cs="Arial"/>
                <w:color w:val="222222"/>
                <w:sz w:val="2"/>
                <w:szCs w:val="18"/>
                <w:lang w:eastAsia="es-MX"/>
              </w:rPr>
            </w:pPr>
          </w:p>
          <w:p>
            <w:pPr>
              <w:spacing w:after="240" w:line="276" w:lineRule="auto"/>
              <w:ind w:right="39"/>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Servicios Educativos del Estado de Chihuahua</w:t>
            </w:r>
          </w:p>
        </w:tc>
        <w:tc>
          <w:tcPr>
            <w:tcW w:w="7938" w:type="dxa"/>
            <w:tcBorders>
              <w:top w:val="single" w:sz="4" w:space="0" w:color="auto"/>
              <w:left w:val="single" w:sz="4" w:space="0" w:color="auto"/>
              <w:bottom w:val="single" w:sz="4" w:space="0" w:color="auto"/>
              <w:right w:val="single" w:sz="4" w:space="0" w:color="auto"/>
            </w:tcBorders>
            <w:hideMark/>
          </w:tcPr>
          <w:p>
            <w:pPr>
              <w:spacing w:line="276" w:lineRule="auto"/>
              <w:rPr>
                <w:rFonts w:ascii="Arial" w:hAnsi="Arial" w:cs="Arial"/>
                <w:sz w:val="18"/>
                <w:szCs w:val="18"/>
              </w:rPr>
            </w:pPr>
            <w:r>
              <w:rPr>
                <w:rFonts w:ascii="Arial" w:hAnsi="Arial" w:cs="Arial"/>
                <w:sz w:val="18"/>
                <w:szCs w:val="18"/>
              </w:rPr>
              <w:t>Manual de Organización de Servicios Educativos del Estado de Chihuahua que contempla la siguiente en sus atribuciones:</w:t>
            </w:r>
          </w:p>
          <w:p>
            <w:pPr>
              <w:spacing w:line="276" w:lineRule="auto"/>
              <w:rPr>
                <w:rFonts w:ascii="Arial" w:hAnsi="Arial" w:cs="Arial"/>
                <w:sz w:val="10"/>
                <w:szCs w:val="18"/>
                <w:lang w:val="es-MX"/>
              </w:rPr>
            </w:pPr>
          </w:p>
          <w:p>
            <w:pPr>
              <w:spacing w:line="276" w:lineRule="auto"/>
              <w:rPr>
                <w:rFonts w:ascii="Arial" w:hAnsi="Arial" w:cs="Arial"/>
                <w:i/>
                <w:iCs/>
                <w:sz w:val="18"/>
                <w:szCs w:val="18"/>
              </w:rPr>
            </w:pPr>
            <w:r>
              <w:rPr>
                <w:rFonts w:ascii="Arial" w:hAnsi="Arial" w:cs="Arial"/>
                <w:i/>
                <w:iCs/>
                <w:sz w:val="18"/>
                <w:szCs w:val="18"/>
              </w:rPr>
              <w:t>“Artículo 2. Servicios Educativos del Estado de Chihuahua tiene por objeto la dirección técnica y administrativa de los establecimientos educativos que se transfieren por la Federación al Estado, en los términos de los convenios celebrados para tal fin.</w:t>
            </w:r>
          </w:p>
          <w:p>
            <w:pPr>
              <w:spacing w:line="276" w:lineRule="auto"/>
              <w:rPr>
                <w:rFonts w:ascii="Arial" w:hAnsi="Arial" w:cs="Arial"/>
                <w:i/>
                <w:iCs/>
                <w:sz w:val="12"/>
                <w:szCs w:val="18"/>
              </w:rPr>
            </w:pPr>
          </w:p>
          <w:p>
            <w:pPr>
              <w:spacing w:line="276" w:lineRule="auto"/>
              <w:rPr>
                <w:rFonts w:ascii="Arial" w:hAnsi="Arial" w:cs="Arial"/>
                <w:i/>
                <w:iCs/>
                <w:sz w:val="18"/>
                <w:szCs w:val="18"/>
              </w:rPr>
            </w:pPr>
            <w:r>
              <w:rPr>
                <w:rFonts w:ascii="Arial" w:hAnsi="Arial" w:cs="Arial"/>
                <w:i/>
                <w:iCs/>
                <w:sz w:val="18"/>
                <w:szCs w:val="18"/>
              </w:rPr>
              <w:t>Artículo 3. Para el cumplimiento de su objetivo el organismo tendrá todas las facultades necesarias y adecuadas, de conformidad con los lineamientos, planes y programas aprobados o puestos en marcha por el Ejecutivo del Estado Chihuahua así como las disposiciones legales y reglamentarias aplicables; asimismo, el Ejecutivo le aportará recursos económicos necesarios para dicho fin”</w:t>
            </w:r>
            <w:r>
              <w:rPr>
                <w:rStyle w:val="Refdenotaalpie"/>
                <w:rFonts w:ascii="Arial" w:hAnsi="Arial" w:cs="Arial"/>
                <w:i/>
                <w:iCs/>
                <w:szCs w:val="18"/>
              </w:rPr>
              <w:footnoteReference w:id="7"/>
            </w:r>
            <w:r>
              <w:rPr>
                <w:rFonts w:ascii="Arial" w:hAnsi="Arial" w:cs="Arial"/>
                <w:i/>
                <w:iCs/>
                <w:sz w:val="18"/>
                <w:szCs w:val="18"/>
              </w:rPr>
              <w:t>.</w:t>
            </w:r>
          </w:p>
          <w:p>
            <w:pPr>
              <w:spacing w:line="276" w:lineRule="auto"/>
              <w:rPr>
                <w:rFonts w:ascii="Arial" w:hAnsi="Arial" w:cs="Arial"/>
                <w:i/>
                <w:iCs/>
                <w:sz w:val="12"/>
                <w:szCs w:val="18"/>
              </w:rPr>
            </w:pPr>
          </w:p>
          <w:p>
            <w:pPr>
              <w:spacing w:line="276" w:lineRule="auto"/>
              <w:rPr>
                <w:rFonts w:ascii="Arial" w:hAnsi="Arial" w:cs="Arial"/>
                <w:sz w:val="18"/>
                <w:szCs w:val="18"/>
              </w:rPr>
            </w:pPr>
            <w:r>
              <w:rPr>
                <w:rFonts w:ascii="Arial" w:hAnsi="Arial" w:cs="Arial"/>
                <w:sz w:val="18"/>
                <w:szCs w:val="18"/>
              </w:rPr>
              <w:t>Por su parte, el Decreto de Creación de SEECH señala que:</w:t>
            </w:r>
          </w:p>
          <w:p>
            <w:pPr>
              <w:spacing w:line="276" w:lineRule="auto"/>
              <w:rPr>
                <w:rFonts w:ascii="Arial" w:hAnsi="Arial" w:cs="Arial"/>
                <w:sz w:val="12"/>
                <w:szCs w:val="18"/>
              </w:rPr>
            </w:pPr>
          </w:p>
          <w:p>
            <w:pPr>
              <w:spacing w:line="276" w:lineRule="auto"/>
              <w:rPr>
                <w:rFonts w:ascii="Arial" w:hAnsi="Arial" w:cs="Arial"/>
                <w:i/>
                <w:iCs/>
                <w:sz w:val="18"/>
                <w:szCs w:val="18"/>
              </w:rPr>
            </w:pPr>
            <w:r>
              <w:rPr>
                <w:rFonts w:ascii="Arial" w:hAnsi="Arial" w:cs="Arial"/>
                <w:i/>
                <w:iCs/>
                <w:sz w:val="18"/>
                <w:szCs w:val="18"/>
              </w:rPr>
              <w:t>“Artículo 2. Servicios Educativos del Estado de Chihuahua tiene por objeto la dirección técnica y administrativa de los establecimientos educativos que se transfieran por la Federación al Estado, en los términos de los convenios celebrados para tal fin.</w:t>
            </w:r>
          </w:p>
          <w:p>
            <w:pPr>
              <w:spacing w:line="276" w:lineRule="auto"/>
              <w:rPr>
                <w:rFonts w:ascii="Arial" w:hAnsi="Arial" w:cs="Arial"/>
                <w:i/>
                <w:iCs/>
                <w:sz w:val="18"/>
                <w:szCs w:val="18"/>
              </w:rPr>
            </w:pPr>
          </w:p>
          <w:p>
            <w:pPr>
              <w:spacing w:line="276" w:lineRule="auto"/>
              <w:rPr>
                <w:rFonts w:ascii="Arial" w:hAnsi="Arial" w:cs="Arial"/>
                <w:i/>
                <w:iCs/>
                <w:sz w:val="18"/>
                <w:szCs w:val="18"/>
              </w:rPr>
            </w:pPr>
            <w:r>
              <w:rPr>
                <w:rFonts w:ascii="Arial" w:hAnsi="Arial" w:cs="Arial"/>
                <w:i/>
                <w:iCs/>
                <w:sz w:val="18"/>
                <w:szCs w:val="18"/>
              </w:rPr>
              <w:t>Artículo 3. Para el cumplimiento de su objeto el Organismo tiene las siguientes funciones:</w:t>
            </w:r>
          </w:p>
          <w:p>
            <w:pPr>
              <w:pStyle w:val="Prrafodelista"/>
              <w:numPr>
                <w:ilvl w:val="0"/>
                <w:numId w:val="119"/>
              </w:numPr>
              <w:spacing w:line="276" w:lineRule="auto"/>
              <w:ind w:left="0"/>
              <w:rPr>
                <w:rFonts w:cs="Arial"/>
                <w:sz w:val="18"/>
                <w:szCs w:val="18"/>
                <w:lang w:val="es-AR"/>
              </w:rPr>
            </w:pPr>
            <w:r>
              <w:rPr>
                <w:rFonts w:cs="Arial"/>
                <w:i/>
                <w:sz w:val="18"/>
                <w:szCs w:val="18"/>
                <w:lang w:val="es-AR"/>
              </w:rPr>
              <w:t>I.</w:t>
            </w:r>
            <w:r>
              <w:rPr>
                <w:rFonts w:cs="Arial"/>
                <w:sz w:val="18"/>
                <w:szCs w:val="18"/>
                <w:lang w:val="es-AR"/>
              </w:rPr>
              <w:t xml:space="preserve">    Dirigir y administrar los planteles educativos;</w:t>
            </w:r>
          </w:p>
          <w:p>
            <w:pPr>
              <w:pStyle w:val="Prrafodelista"/>
              <w:numPr>
                <w:ilvl w:val="0"/>
                <w:numId w:val="119"/>
              </w:numPr>
              <w:spacing w:line="276" w:lineRule="auto"/>
              <w:ind w:left="0"/>
              <w:rPr>
                <w:rFonts w:cs="Arial"/>
                <w:sz w:val="18"/>
                <w:szCs w:val="18"/>
                <w:lang w:val="es-AR"/>
              </w:rPr>
            </w:pPr>
            <w:r>
              <w:rPr>
                <w:rFonts w:cs="Arial"/>
                <w:i/>
                <w:sz w:val="18"/>
                <w:szCs w:val="18"/>
                <w:lang w:val="es-AR"/>
              </w:rPr>
              <w:t>II.</w:t>
            </w:r>
            <w:r>
              <w:rPr>
                <w:rFonts w:cs="Arial"/>
                <w:sz w:val="18"/>
                <w:szCs w:val="18"/>
                <w:lang w:val="es-AR"/>
              </w:rPr>
              <w:t xml:space="preserve">   Participar con la Dirección General de Desarrollo Social, conforme a los lineamientos que se establezca, en la reorganización del sistema educativo estatal;</w:t>
            </w:r>
          </w:p>
          <w:p>
            <w:pPr>
              <w:pStyle w:val="Prrafodelista"/>
              <w:numPr>
                <w:ilvl w:val="0"/>
                <w:numId w:val="119"/>
              </w:numPr>
              <w:spacing w:line="276" w:lineRule="auto"/>
              <w:ind w:left="0"/>
              <w:rPr>
                <w:rFonts w:cs="Arial"/>
                <w:sz w:val="18"/>
                <w:szCs w:val="18"/>
                <w:lang w:val="es-AR"/>
              </w:rPr>
            </w:pPr>
            <w:r>
              <w:rPr>
                <w:rFonts w:cs="Arial"/>
                <w:i/>
                <w:sz w:val="18"/>
                <w:szCs w:val="18"/>
                <w:lang w:val="es-AR"/>
              </w:rPr>
              <w:t>III.</w:t>
            </w:r>
            <w:r>
              <w:rPr>
                <w:rFonts w:cs="Arial"/>
                <w:sz w:val="18"/>
                <w:szCs w:val="18"/>
                <w:lang w:val="es-AR"/>
              </w:rPr>
              <w:t xml:space="preserve">   Promover y fortalecer la participación de la comunidad en el sistema educativo estatal;</w:t>
            </w:r>
          </w:p>
          <w:p>
            <w:pPr>
              <w:pStyle w:val="Prrafodelista"/>
              <w:numPr>
                <w:ilvl w:val="0"/>
                <w:numId w:val="119"/>
              </w:numPr>
              <w:spacing w:line="276" w:lineRule="auto"/>
              <w:ind w:left="0"/>
              <w:rPr>
                <w:rFonts w:cs="Arial"/>
                <w:sz w:val="18"/>
                <w:szCs w:val="18"/>
                <w:lang w:val="es-AR"/>
              </w:rPr>
            </w:pPr>
            <w:r>
              <w:rPr>
                <w:rFonts w:cs="Arial"/>
                <w:i/>
                <w:sz w:val="18"/>
                <w:szCs w:val="18"/>
                <w:lang w:val="es-AR"/>
              </w:rPr>
              <w:t>IV.</w:t>
            </w:r>
            <w:r>
              <w:rPr>
                <w:rFonts w:cs="Arial"/>
                <w:sz w:val="18"/>
                <w:szCs w:val="18"/>
                <w:lang w:val="es-AR"/>
              </w:rPr>
              <w:t xml:space="preserve">  Participar en la formación y actualización del magisterio;</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V.   </w:t>
            </w:r>
            <w:r>
              <w:rPr>
                <w:rFonts w:cs="Arial"/>
                <w:sz w:val="18"/>
                <w:szCs w:val="18"/>
                <w:lang w:val="es-AR"/>
              </w:rPr>
              <w:t>Participar en las propuestas que se presenten a la Secretaría de Educación Pública, sobre el diseño de planes y programas de contenido regional y promover su inclusión en el contexto educativo;</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VI.   </w:t>
            </w:r>
            <w:r>
              <w:rPr>
                <w:rFonts w:cs="Arial"/>
                <w:sz w:val="18"/>
                <w:szCs w:val="18"/>
                <w:lang w:val="es-AR"/>
              </w:rPr>
              <w:t>Impulsar el funcionamiento de los Consejos Técnicos de la Educación;</w:t>
            </w:r>
          </w:p>
          <w:p>
            <w:pPr>
              <w:pStyle w:val="Prrafodelista"/>
              <w:numPr>
                <w:ilvl w:val="0"/>
                <w:numId w:val="119"/>
              </w:numPr>
              <w:spacing w:line="276" w:lineRule="auto"/>
              <w:ind w:left="0"/>
              <w:rPr>
                <w:rFonts w:cs="Arial"/>
                <w:sz w:val="18"/>
                <w:szCs w:val="18"/>
                <w:lang w:val="es-AR"/>
              </w:rPr>
            </w:pPr>
            <w:r>
              <w:rPr>
                <w:rFonts w:cs="Arial"/>
                <w:i/>
                <w:sz w:val="18"/>
                <w:szCs w:val="18"/>
                <w:lang w:val="es-AR"/>
              </w:rPr>
              <w:t>VII.</w:t>
            </w:r>
            <w:r>
              <w:rPr>
                <w:rFonts w:cs="Arial"/>
                <w:sz w:val="18"/>
                <w:szCs w:val="18"/>
                <w:lang w:val="es-AR"/>
              </w:rPr>
              <w:t xml:space="preserve">  Construir, reubicar, ampliar y mantener los planteles educativos;</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VIII. </w:t>
            </w:r>
            <w:r>
              <w:rPr>
                <w:rFonts w:cs="Arial"/>
                <w:sz w:val="18"/>
                <w:szCs w:val="18"/>
                <w:lang w:val="es-AR"/>
              </w:rPr>
              <w:t>Participar en la supervisión del sistema educativo estatal;</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IX.  </w:t>
            </w:r>
            <w:r>
              <w:rPr>
                <w:rFonts w:cs="Arial"/>
                <w:sz w:val="18"/>
                <w:szCs w:val="18"/>
                <w:lang w:val="es-AR"/>
              </w:rPr>
              <w:t>Informar al Ejecutivo Estatal sobre el cumplimiento de la normatividad federal en materia educativa, y proponer las reformas o modificaciones respectivas; y</w:t>
            </w:r>
          </w:p>
          <w:p>
            <w:pPr>
              <w:pStyle w:val="Prrafodelista"/>
              <w:numPr>
                <w:ilvl w:val="0"/>
                <w:numId w:val="119"/>
              </w:numPr>
              <w:spacing w:line="276" w:lineRule="auto"/>
              <w:ind w:left="0"/>
              <w:rPr>
                <w:rFonts w:cs="Arial"/>
                <w:sz w:val="18"/>
                <w:szCs w:val="18"/>
                <w:lang w:val="es-AR"/>
              </w:rPr>
            </w:pPr>
            <w:r>
              <w:rPr>
                <w:rFonts w:cs="Arial"/>
                <w:i/>
                <w:sz w:val="18"/>
                <w:szCs w:val="18"/>
                <w:lang w:val="es-AR"/>
              </w:rPr>
              <w:t xml:space="preserve">X.     </w:t>
            </w:r>
            <w:r>
              <w:rPr>
                <w:rFonts w:cs="Arial"/>
                <w:sz w:val="18"/>
                <w:szCs w:val="18"/>
                <w:lang w:val="es-AR"/>
              </w:rPr>
              <w:t>Las demás necesarias para el cumplimiento de su objeto.”</w:t>
            </w:r>
            <w:r>
              <w:rPr>
                <w:rStyle w:val="Refdenotaalpie"/>
                <w:rFonts w:cs="Arial"/>
                <w:szCs w:val="18"/>
                <w:lang w:val="es-AR"/>
              </w:rPr>
              <w:footnoteReference w:id="8"/>
            </w:r>
          </w:p>
        </w:tc>
      </w:tr>
    </w:tbl>
    <w:p>
      <w:pPr>
        <w:autoSpaceDE w:val="0"/>
        <w:autoSpaceDN w:val="0"/>
        <w:adjustRightInd w:val="0"/>
        <w:spacing w:after="0" w:line="240" w:lineRule="auto"/>
        <w:ind w:left="-567" w:right="-801"/>
        <w:rPr>
          <w:rFonts w:ascii="Arial" w:hAnsi="Arial" w:cs="Arial"/>
          <w:color w:val="0D0D0D" w:themeColor="text1" w:themeTint="F2"/>
          <w:lang w:eastAsia="es-AR"/>
        </w:rPr>
      </w:pPr>
    </w:p>
    <w:p>
      <w:pPr>
        <w:autoSpaceDE w:val="0"/>
        <w:autoSpaceDN w:val="0"/>
        <w:adjustRightInd w:val="0"/>
        <w:spacing w:after="0" w:line="240" w:lineRule="auto"/>
        <w:ind w:left="-567" w:right="-801"/>
        <w:rPr>
          <w:rFonts w:ascii="Arial" w:hAnsi="Arial" w:cs="Arial"/>
          <w:color w:val="0D0D0D" w:themeColor="text1" w:themeTint="F2"/>
          <w:lang w:eastAsia="es-AR"/>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1"/>
        <w:gridCol w:w="6276"/>
      </w:tblGrid>
      <w:tr>
        <w:trPr>
          <w:trHeight w:val="411"/>
          <w:jc w:val="center"/>
        </w:trPr>
        <w:tc>
          <w:tcPr>
            <w:tcW w:w="3131" w:type="dxa"/>
            <w:shd w:val="clear" w:color="auto" w:fill="7030A0"/>
            <w:vAlign w:val="center"/>
            <w:hideMark/>
          </w:tcPr>
          <w:p>
            <w:pPr>
              <w:spacing w:after="0" w:line="240" w:lineRule="auto"/>
              <w:ind w:right="72"/>
              <w:jc w:val="center"/>
              <w:rPr>
                <w:rFonts w:ascii="Arial" w:eastAsia="Times New Roman" w:hAnsi="Arial" w:cs="Arial"/>
                <w:b/>
                <w:bCs/>
                <w:color w:val="FFFFFF" w:themeColor="background1"/>
                <w:lang w:val="es-MX" w:eastAsia="es-MX"/>
              </w:rPr>
            </w:pPr>
            <w:r>
              <w:rPr>
                <w:rFonts w:ascii="Arial" w:eastAsia="Times New Roman" w:hAnsi="Arial" w:cs="Arial"/>
                <w:b/>
                <w:bCs/>
                <w:color w:val="FFFFFF" w:themeColor="background1"/>
                <w:lang w:val="es-MX" w:eastAsia="es-MX"/>
              </w:rPr>
              <w:lastRenderedPageBreak/>
              <w:t>DENOMINACIÓN DE LA UR</w:t>
            </w:r>
          </w:p>
        </w:tc>
        <w:tc>
          <w:tcPr>
            <w:tcW w:w="6276" w:type="dxa"/>
            <w:shd w:val="clear" w:color="auto" w:fill="7030A0"/>
            <w:vAlign w:val="center"/>
            <w:hideMark/>
          </w:tcPr>
          <w:p>
            <w:pPr>
              <w:spacing w:after="0" w:line="240" w:lineRule="auto"/>
              <w:ind w:right="78"/>
              <w:jc w:val="center"/>
              <w:rPr>
                <w:rFonts w:ascii="Arial" w:eastAsia="Times New Roman" w:hAnsi="Arial" w:cs="Arial"/>
                <w:b/>
                <w:bCs/>
                <w:color w:val="FFFFFF" w:themeColor="background1"/>
                <w:lang w:val="es-MX" w:eastAsia="es-MX"/>
              </w:rPr>
            </w:pPr>
            <w:r>
              <w:rPr>
                <w:rFonts w:ascii="Arial" w:eastAsia="Times New Roman" w:hAnsi="Arial" w:cs="Arial"/>
                <w:b/>
                <w:bCs/>
                <w:color w:val="FFFFFF" w:themeColor="background1"/>
                <w:lang w:val="es-MX" w:eastAsia="es-MX"/>
              </w:rPr>
              <w:t>FUNCIONES</w:t>
            </w:r>
          </w:p>
        </w:tc>
      </w:tr>
      <w:tr>
        <w:trPr>
          <w:trHeight w:val="963"/>
          <w:jc w:val="center"/>
        </w:trPr>
        <w:tc>
          <w:tcPr>
            <w:tcW w:w="3131" w:type="dxa"/>
            <w:shd w:val="clear" w:color="auto" w:fill="auto"/>
            <w:vAlign w:val="center"/>
            <w:hideMark/>
          </w:tcPr>
          <w:p>
            <w:pPr>
              <w:spacing w:after="0" w:line="240" w:lineRule="auto"/>
              <w:ind w:right="72"/>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Departamento de coordinación estatal de tecnología educativa (CETE)</w:t>
            </w:r>
          </w:p>
        </w:tc>
        <w:tc>
          <w:tcPr>
            <w:tcW w:w="6276" w:type="dxa"/>
            <w:shd w:val="clear" w:color="auto" w:fill="auto"/>
            <w:vAlign w:val="center"/>
            <w:hideMark/>
          </w:tcPr>
          <w:p>
            <w:pPr>
              <w:spacing w:after="0" w:line="240" w:lineRule="auto"/>
              <w:ind w:right="78"/>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Instalar, configurar, dar mantenimiento preventivo y correctivo y brindar soporte técnico al equipo de cómputo, redes, telecomunicaciones, sistemas de energía, páginas y aplicaciones web, y servicios digitales de los centros educativos del estado.</w:t>
            </w:r>
          </w:p>
        </w:tc>
      </w:tr>
      <w:tr>
        <w:trPr>
          <w:trHeight w:val="781"/>
          <w:jc w:val="center"/>
        </w:trPr>
        <w:tc>
          <w:tcPr>
            <w:tcW w:w="3131" w:type="dxa"/>
            <w:shd w:val="clear" w:color="auto" w:fill="auto"/>
            <w:vAlign w:val="center"/>
            <w:hideMark/>
          </w:tcPr>
          <w:p>
            <w:pPr>
              <w:spacing w:after="0" w:line="240" w:lineRule="auto"/>
              <w:ind w:right="72"/>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Departamento de Microplaneación</w:t>
            </w:r>
          </w:p>
        </w:tc>
        <w:tc>
          <w:tcPr>
            <w:tcW w:w="6276" w:type="dxa"/>
            <w:shd w:val="clear" w:color="auto" w:fill="auto"/>
            <w:vAlign w:val="center"/>
            <w:hideMark/>
          </w:tcPr>
          <w:p>
            <w:pPr>
              <w:spacing w:after="0" w:line="240" w:lineRule="auto"/>
              <w:ind w:right="78"/>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Planear, organizar, dirigir y controlar los programas de mantenimiento menor, anteproyectos de construcción e instalación y rehabilitación de aulas móviles para atender a centros educativos de educación básica.</w:t>
            </w:r>
          </w:p>
        </w:tc>
      </w:tr>
      <w:tr>
        <w:trPr>
          <w:trHeight w:val="1026"/>
          <w:jc w:val="center"/>
        </w:trPr>
        <w:tc>
          <w:tcPr>
            <w:tcW w:w="3131" w:type="dxa"/>
            <w:vMerge w:val="restart"/>
            <w:shd w:val="clear" w:color="auto" w:fill="auto"/>
            <w:vAlign w:val="center"/>
            <w:hideMark/>
          </w:tcPr>
          <w:p>
            <w:pPr>
              <w:spacing w:after="0" w:line="240" w:lineRule="auto"/>
              <w:ind w:right="72"/>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Departamento de Libros de Texto</w:t>
            </w:r>
          </w:p>
        </w:tc>
        <w:tc>
          <w:tcPr>
            <w:tcW w:w="6276" w:type="dxa"/>
            <w:shd w:val="clear" w:color="auto" w:fill="auto"/>
            <w:vAlign w:val="center"/>
            <w:hideMark/>
          </w:tcPr>
          <w:p>
            <w:pPr>
              <w:spacing w:after="0" w:line="240" w:lineRule="auto"/>
              <w:ind w:right="78"/>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Coordinar la distribución de muestras de libros de texto para el nivel de educación secundaria, así como la impresión, distribución y recopilación de cédulas de selección de libros de texto para secundarias generales y técnicas, tanto federales como estatales, debidamente requisitadas.</w:t>
            </w:r>
          </w:p>
        </w:tc>
      </w:tr>
      <w:tr>
        <w:trPr>
          <w:trHeight w:val="707"/>
          <w:jc w:val="center"/>
        </w:trPr>
        <w:tc>
          <w:tcPr>
            <w:tcW w:w="3131" w:type="dxa"/>
            <w:vMerge/>
            <w:vAlign w:val="center"/>
            <w:hideMark/>
          </w:tcPr>
          <w:p>
            <w:pPr>
              <w:spacing w:after="0" w:line="240" w:lineRule="auto"/>
              <w:ind w:right="72"/>
              <w:rPr>
                <w:rFonts w:ascii="Arial" w:eastAsia="Times New Roman" w:hAnsi="Arial" w:cs="Arial"/>
                <w:color w:val="000000"/>
                <w:sz w:val="20"/>
                <w:szCs w:val="20"/>
                <w:lang w:val="es-MX" w:eastAsia="es-MX"/>
              </w:rPr>
            </w:pPr>
          </w:p>
        </w:tc>
        <w:tc>
          <w:tcPr>
            <w:tcW w:w="6276" w:type="dxa"/>
            <w:shd w:val="clear" w:color="auto" w:fill="auto"/>
            <w:vAlign w:val="center"/>
            <w:hideMark/>
          </w:tcPr>
          <w:p>
            <w:pPr>
              <w:spacing w:after="0" w:line="240" w:lineRule="auto"/>
              <w:ind w:right="78"/>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Planear, coordinar y supervisar la distribución y/o entrega de libros de texto y materiales educativos a los planteles escolares y almacenes regionales.</w:t>
            </w:r>
          </w:p>
        </w:tc>
      </w:tr>
      <w:tr>
        <w:trPr>
          <w:trHeight w:val="807"/>
          <w:jc w:val="center"/>
        </w:trPr>
        <w:tc>
          <w:tcPr>
            <w:tcW w:w="3131" w:type="dxa"/>
            <w:vMerge w:val="restart"/>
            <w:shd w:val="clear" w:color="auto" w:fill="auto"/>
            <w:vAlign w:val="center"/>
            <w:hideMark/>
          </w:tcPr>
          <w:p>
            <w:pPr>
              <w:spacing w:after="0" w:line="240" w:lineRule="auto"/>
              <w:ind w:right="72"/>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Departamento de CEPS y Atención a Padres de Familia</w:t>
            </w:r>
          </w:p>
        </w:tc>
        <w:tc>
          <w:tcPr>
            <w:tcW w:w="6276" w:type="dxa"/>
            <w:shd w:val="clear" w:color="auto" w:fill="auto"/>
            <w:vAlign w:val="center"/>
            <w:hideMark/>
          </w:tcPr>
          <w:p>
            <w:pPr>
              <w:spacing w:after="0" w:line="240" w:lineRule="auto"/>
              <w:ind w:right="78"/>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Coordinar y dirigir la atención y apoyo a padres, madres, tutores y tutoras, así como a los consejos de participación social de las escuelas de educación básica federal transferido.</w:t>
            </w:r>
          </w:p>
        </w:tc>
      </w:tr>
      <w:tr>
        <w:trPr>
          <w:trHeight w:val="471"/>
          <w:jc w:val="center"/>
        </w:trPr>
        <w:tc>
          <w:tcPr>
            <w:tcW w:w="3131" w:type="dxa"/>
            <w:vMerge/>
            <w:vAlign w:val="center"/>
            <w:hideMark/>
          </w:tcPr>
          <w:p>
            <w:pPr>
              <w:spacing w:after="0" w:line="240" w:lineRule="auto"/>
              <w:ind w:left="-567" w:right="-801"/>
              <w:rPr>
                <w:rFonts w:ascii="Arial" w:eastAsia="Times New Roman" w:hAnsi="Arial" w:cs="Arial"/>
                <w:color w:val="000000"/>
                <w:sz w:val="20"/>
                <w:szCs w:val="20"/>
                <w:lang w:val="es-MX" w:eastAsia="es-MX"/>
              </w:rPr>
            </w:pPr>
          </w:p>
        </w:tc>
        <w:tc>
          <w:tcPr>
            <w:tcW w:w="6276" w:type="dxa"/>
            <w:shd w:val="clear" w:color="auto" w:fill="auto"/>
            <w:vAlign w:val="center"/>
            <w:hideMark/>
          </w:tcPr>
          <w:p>
            <w:pPr>
              <w:spacing w:after="0" w:line="240" w:lineRule="auto"/>
              <w:ind w:right="78"/>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Atender, orientar, conciliar, canalizar y dar seguimiento a las problemáticas presentadas al departamento.</w:t>
            </w:r>
          </w:p>
        </w:tc>
      </w:tr>
    </w:tbl>
    <w:p>
      <w:pPr>
        <w:autoSpaceDE w:val="0"/>
        <w:autoSpaceDN w:val="0"/>
        <w:adjustRightInd w:val="0"/>
        <w:spacing w:after="0" w:line="240" w:lineRule="auto"/>
        <w:ind w:left="-567" w:right="-801"/>
        <w:rPr>
          <w:rFonts w:ascii="Arial" w:hAnsi="Arial" w:cs="Arial"/>
          <w:color w:val="0D0D0D" w:themeColor="text1" w:themeTint="F2"/>
          <w:lang w:val="es-MX" w:eastAsia="es-AR"/>
        </w:rPr>
      </w:pPr>
    </w:p>
    <w:p>
      <w:pPr>
        <w:autoSpaceDE w:val="0"/>
        <w:autoSpaceDN w:val="0"/>
        <w:adjustRightInd w:val="0"/>
        <w:spacing w:after="0" w:line="240" w:lineRule="auto"/>
        <w:ind w:left="-567" w:right="-801"/>
        <w:rPr>
          <w:rFonts w:ascii="Arial" w:hAnsi="Arial" w:cs="Arial"/>
          <w:color w:val="0D0D0D" w:themeColor="text1" w:themeTint="F2"/>
          <w:lang w:val="es-MX" w:eastAsia="es-AR"/>
        </w:rPr>
      </w:pPr>
    </w:p>
    <w:p>
      <w:pPr>
        <w:spacing w:line="276" w:lineRule="auto"/>
        <w:ind w:left="-567" w:right="-801"/>
        <w:rPr>
          <w:rFonts w:ascii="Arial" w:hAnsi="Arial" w:cs="Arial"/>
          <w:b/>
          <w:lang w:val="es-MX"/>
        </w:rPr>
      </w:pPr>
      <w:r>
        <w:rPr>
          <w:rFonts w:ascii="Arial" w:hAnsi="Arial" w:cs="Arial"/>
          <w:b/>
          <w:lang w:val="es-MX"/>
        </w:rPr>
        <w:t>Recursos presupuestarios requeridos:</w:t>
      </w:r>
    </w:p>
    <w:p>
      <w:pPr>
        <w:spacing w:after="0" w:line="276" w:lineRule="auto"/>
        <w:ind w:left="-567" w:right="-801"/>
        <w:rPr>
          <w:rFonts w:ascii="Arial" w:hAnsi="Arial" w:cs="Arial"/>
          <w:lang w:val="es-MX"/>
        </w:rPr>
      </w:pPr>
      <w:r>
        <w:rPr>
          <w:rFonts w:ascii="Arial" w:hAnsi="Arial" w:cs="Arial"/>
          <w:lang w:val="es-MX"/>
        </w:rPr>
        <w:t>Se requirió para la operación del Programa durante los ejercicios 2021 al  2023 los siguientes recursos:</w:t>
      </w:r>
    </w:p>
    <w:p>
      <w:pPr>
        <w:spacing w:after="0" w:line="276" w:lineRule="auto"/>
        <w:ind w:left="-567" w:right="-801"/>
        <w:rPr>
          <w:rFonts w:ascii="Arial" w:hAnsi="Arial" w:cs="Arial"/>
          <w:lang w:val="es-MX"/>
        </w:rPr>
      </w:pPr>
    </w:p>
    <w:tbl>
      <w:tblPr>
        <w:tblW w:w="8964" w:type="dxa"/>
        <w:tblInd w:w="10" w:type="dxa"/>
        <w:tblLook w:val="04A0" w:firstRow="1" w:lastRow="0" w:firstColumn="1" w:lastColumn="0" w:noHBand="0" w:noVBand="1"/>
      </w:tblPr>
      <w:tblGrid>
        <w:gridCol w:w="841"/>
        <w:gridCol w:w="961"/>
        <w:gridCol w:w="4108"/>
        <w:gridCol w:w="1616"/>
        <w:gridCol w:w="1647"/>
      </w:tblGrid>
      <w:tr>
        <w:trPr>
          <w:trHeight w:val="300"/>
        </w:trPr>
        <w:tc>
          <w:tcPr>
            <w:tcW w:w="8964" w:type="dxa"/>
            <w:gridSpan w:val="5"/>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Fuentes y origen de los recursos correspondientes a los ejercicios 2021 al 2023:</w:t>
            </w:r>
          </w:p>
        </w:tc>
      </w:tr>
      <w:tr>
        <w:trPr>
          <w:trHeight w:val="450"/>
        </w:trPr>
        <w:tc>
          <w:tcPr>
            <w:tcW w:w="841"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752"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4108"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616"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2021</w:t>
            </w:r>
          </w:p>
        </w:tc>
        <w:tc>
          <w:tcPr>
            <w:tcW w:w="1647"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2021</w:t>
            </w:r>
          </w:p>
        </w:tc>
      </w:tr>
      <w:tr>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1000</w:t>
            </w:r>
          </w:p>
        </w:tc>
        <w:tc>
          <w:tcPr>
            <w:tcW w:w="410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458,687,398.74 </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523,188,613.47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14,828,340.00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20,839,530.99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12,129,660.00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8,630,510.27 </w:t>
            </w:r>
          </w:p>
        </w:tc>
      </w:tr>
      <w:tr>
        <w:trPr>
          <w:trHeight w:val="605"/>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4000</w:t>
            </w:r>
          </w:p>
        </w:tc>
        <w:tc>
          <w:tcPr>
            <w:tcW w:w="4108"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Transferencias, Asignaciones, Subsidios y otras ayudas</w:t>
            </w:r>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1,380,000.00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1,380,000.00 </w:t>
            </w:r>
          </w:p>
        </w:tc>
      </w:tr>
      <w:tr>
        <w:trPr>
          <w:trHeight w:val="495"/>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5000</w:t>
            </w:r>
          </w:p>
        </w:tc>
        <w:tc>
          <w:tcPr>
            <w:tcW w:w="4108"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616"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647"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4,300,114.24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color w:val="000000"/>
                <w:sz w:val="18"/>
                <w:szCs w:val="18"/>
                <w:lang w:val="en-US"/>
              </w:rPr>
            </w:pPr>
            <w:r>
              <w:rPr>
                <w:rFonts w:ascii="Calibri" w:eastAsia="Times New Roman" w:hAnsi="Calibri" w:cs="Calibri"/>
                <w:b/>
                <w:color w:val="000000"/>
                <w:sz w:val="18"/>
                <w:szCs w:val="18"/>
                <w:lang w:val="en-US"/>
              </w:rPr>
              <w:t xml:space="preserve">        487,025,398.74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color w:val="000000"/>
                <w:sz w:val="18"/>
                <w:szCs w:val="18"/>
                <w:lang w:val="en-US"/>
              </w:rPr>
            </w:pPr>
            <w:r>
              <w:rPr>
                <w:rFonts w:ascii="Calibri" w:eastAsia="Times New Roman" w:hAnsi="Calibri" w:cs="Calibri"/>
                <w:b/>
                <w:color w:val="000000"/>
                <w:sz w:val="18"/>
                <w:szCs w:val="18"/>
                <w:lang w:val="en-US"/>
              </w:rPr>
              <w:t xml:space="preserve">         558,338,768.97 </w:t>
            </w:r>
          </w:p>
        </w:tc>
      </w:tr>
      <w:tr>
        <w:trPr>
          <w:trHeight w:val="300"/>
        </w:trPr>
        <w:tc>
          <w:tcPr>
            <w:tcW w:w="8964" w:type="dxa"/>
            <w:gridSpan w:val="5"/>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p>
          <w:p>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lastRenderedPageBreak/>
              <w:t>Fuentes y origen de los recursos correspondientes a los ejercicios 2021 al 2023:</w:t>
            </w:r>
          </w:p>
        </w:tc>
      </w:tr>
      <w:tr>
        <w:trPr>
          <w:trHeight w:val="450"/>
        </w:trPr>
        <w:tc>
          <w:tcPr>
            <w:tcW w:w="841"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lastRenderedPageBreak/>
              <w:t>Año</w:t>
            </w:r>
            <w:proofErr w:type="spellEnd"/>
          </w:p>
        </w:tc>
        <w:tc>
          <w:tcPr>
            <w:tcW w:w="752"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4108"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616"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2022</w:t>
            </w:r>
          </w:p>
        </w:tc>
        <w:tc>
          <w:tcPr>
            <w:tcW w:w="1647"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2022</w:t>
            </w:r>
          </w:p>
        </w:tc>
      </w:tr>
      <w:tr>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1000</w:t>
            </w:r>
          </w:p>
        </w:tc>
        <w:tc>
          <w:tcPr>
            <w:tcW w:w="410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498,502,282.00 </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368,821,999.17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16,275,807.00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6,771,783.16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11,393,437.00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6,780,671.98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Transferencias, Asignaciones, Subsidios y otras ayudas</w:t>
            </w:r>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1,242,000.00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r>
      <w:tr>
        <w:trPr>
          <w:trHeight w:val="495"/>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5000</w:t>
            </w:r>
          </w:p>
        </w:tc>
        <w:tc>
          <w:tcPr>
            <w:tcW w:w="4108"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616"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647"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813,662.30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color w:val="000000"/>
                <w:sz w:val="18"/>
                <w:szCs w:val="18"/>
                <w:lang w:val="en-US"/>
              </w:rPr>
            </w:pPr>
            <w:r>
              <w:rPr>
                <w:rFonts w:ascii="Calibri" w:eastAsia="Times New Roman" w:hAnsi="Calibri" w:cs="Calibri"/>
                <w:b/>
                <w:color w:val="000000"/>
                <w:sz w:val="18"/>
                <w:szCs w:val="18"/>
                <w:lang w:val="en-US"/>
              </w:rPr>
              <w:t xml:space="preserve">        527,413,526.00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color w:val="000000"/>
                <w:sz w:val="18"/>
                <w:szCs w:val="18"/>
                <w:lang w:val="en-US"/>
              </w:rPr>
            </w:pPr>
            <w:r>
              <w:rPr>
                <w:rFonts w:ascii="Calibri" w:eastAsia="Times New Roman" w:hAnsi="Calibri" w:cs="Calibri"/>
                <w:b/>
                <w:color w:val="000000"/>
                <w:sz w:val="18"/>
                <w:szCs w:val="18"/>
                <w:lang w:val="en-US"/>
              </w:rPr>
              <w:t xml:space="preserve">         383,188,116.61 </w:t>
            </w:r>
          </w:p>
        </w:tc>
      </w:tr>
      <w:tr>
        <w:trPr>
          <w:trHeight w:val="300"/>
        </w:trPr>
        <w:tc>
          <w:tcPr>
            <w:tcW w:w="841"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
        </w:tc>
        <w:tc>
          <w:tcPr>
            <w:tcW w:w="75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410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61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c>
          <w:tcPr>
            <w:tcW w:w="164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US"/>
              </w:rPr>
            </w:pPr>
          </w:p>
        </w:tc>
      </w:tr>
      <w:tr>
        <w:trPr>
          <w:trHeight w:val="450"/>
        </w:trPr>
        <w:tc>
          <w:tcPr>
            <w:tcW w:w="841"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752"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4108"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616"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2023</w:t>
            </w:r>
          </w:p>
        </w:tc>
        <w:tc>
          <w:tcPr>
            <w:tcW w:w="1647"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br/>
              <w:t xml:space="preserve"> (a Julio- 2023)</w:t>
            </w:r>
          </w:p>
        </w:tc>
      </w:tr>
      <w:tr>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2023</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1000</w:t>
            </w:r>
          </w:p>
        </w:tc>
        <w:tc>
          <w:tcPr>
            <w:tcW w:w="410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41,125,589.11 </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24,761,835.43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17,281,974.00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6,349,696.49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10,209,246.02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3,454,299.28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4000</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Transferencias, Asignaciones, Subsidios y otras ayudas</w:t>
            </w:r>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r>
      <w:tr>
        <w:trPr>
          <w:trHeight w:val="495"/>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5000</w:t>
            </w:r>
          </w:p>
        </w:tc>
        <w:tc>
          <w:tcPr>
            <w:tcW w:w="4108"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616"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647"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26,492.00 </w:t>
            </w:r>
          </w:p>
        </w:tc>
      </w:tr>
      <w:tr>
        <w:trPr>
          <w:trHeight w:val="300"/>
        </w:trPr>
        <w:tc>
          <w:tcPr>
            <w:tcW w:w="84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n-US"/>
              </w:rPr>
            </w:pPr>
          </w:p>
        </w:tc>
        <w:tc>
          <w:tcPr>
            <w:tcW w:w="75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410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6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68,616,809.13 </w:t>
            </w:r>
          </w:p>
        </w:tc>
        <w:tc>
          <w:tcPr>
            <w:tcW w:w="164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34,592,323.20 </w:t>
            </w:r>
          </w:p>
        </w:tc>
      </w:tr>
    </w:tbl>
    <w:p>
      <w:pPr>
        <w:spacing w:after="0" w:line="276" w:lineRule="auto"/>
        <w:ind w:left="-567" w:right="-801"/>
        <w:rPr>
          <w:rFonts w:ascii="Arial" w:hAnsi="Arial" w:cs="Arial"/>
          <w:lang w:val="es-MX"/>
        </w:rPr>
      </w:pPr>
    </w:p>
    <w:p>
      <w:pPr>
        <w:spacing w:after="0" w:line="276" w:lineRule="auto"/>
        <w:ind w:left="-567" w:right="-801"/>
        <w:rPr>
          <w:rFonts w:ascii="Arial" w:hAnsi="Arial" w:cs="Arial"/>
          <w:lang w:val="es-MX"/>
        </w:rPr>
      </w:pPr>
    </w:p>
    <w:p>
      <w:pPr>
        <w:spacing w:line="276" w:lineRule="auto"/>
        <w:ind w:left="-567" w:right="-801"/>
        <w:rPr>
          <w:rFonts w:ascii="Arial" w:hAnsi="Arial" w:cs="Arial"/>
          <w:sz w:val="2"/>
          <w:lang w:val="es-MX"/>
        </w:rPr>
      </w:pPr>
    </w:p>
    <w:p>
      <w:pPr>
        <w:ind w:left="-567" w:right="-518"/>
        <w:jc w:val="both"/>
        <w:rPr>
          <w:rFonts w:ascii="Arial" w:hAnsi="Arial" w:cs="Arial"/>
          <w:lang w:val="es-MX" w:eastAsia="zh-CN"/>
        </w:rPr>
      </w:pPr>
      <w:r>
        <w:rPr>
          <w:rFonts w:ascii="Arial" w:hAnsi="Arial" w:cs="Arial"/>
          <w:lang w:val="es-MX" w:eastAsia="zh-CN"/>
        </w:rPr>
        <w:t>En cuanto al gasto se refiere, en los servicios personales para el 2021 se ejerció un 14.06 por ciento más de lo autorizado originalmente, para el 2022 a pesar de un incremento del 8.68 por ciento en relación al autorizado en el 2021, se queda por debajo de lo ejercido en ese mismo año.</w:t>
      </w:r>
    </w:p>
    <w:p>
      <w:pPr>
        <w:ind w:left="-567" w:right="-518"/>
        <w:jc w:val="both"/>
        <w:rPr>
          <w:rFonts w:ascii="Arial" w:hAnsi="Arial" w:cs="Arial"/>
          <w:lang w:val="es-MX" w:eastAsia="zh-CN"/>
        </w:rPr>
      </w:pPr>
      <w:r>
        <w:rPr>
          <w:rFonts w:ascii="Arial" w:hAnsi="Arial" w:cs="Arial"/>
          <w:lang w:val="es-MX" w:eastAsia="zh-CN"/>
        </w:rPr>
        <w:t>Del ejercicio 2022 al 2023, se refleja una disminución considerable de recurso en el programa presupuestario del 89.9% del recurso, ya que una actividad que se incluía en éste durante el 2022 para el 2023 forma parte del programa presupuestario 2E209C1 Gestión para la Educación Básica, Normal y Posgrado.</w:t>
      </w:r>
    </w:p>
    <w:p>
      <w:pPr>
        <w:autoSpaceDE w:val="0"/>
        <w:autoSpaceDN w:val="0"/>
        <w:adjustRightInd w:val="0"/>
        <w:spacing w:after="0" w:line="240" w:lineRule="auto"/>
        <w:ind w:left="-567" w:right="-801"/>
        <w:rPr>
          <w:rFonts w:ascii="Arial" w:hAnsi="Arial" w:cs="Arial"/>
          <w:b/>
          <w:bCs/>
          <w:lang w:val="es-MX"/>
        </w:rPr>
      </w:pPr>
    </w:p>
    <w:p>
      <w:pPr>
        <w:autoSpaceDE w:val="0"/>
        <w:autoSpaceDN w:val="0"/>
        <w:adjustRightInd w:val="0"/>
        <w:spacing w:after="0" w:line="240" w:lineRule="auto"/>
        <w:ind w:left="-567" w:right="-801"/>
        <w:rPr>
          <w:rFonts w:ascii="Arial" w:hAnsi="Arial" w:cs="Arial"/>
          <w:b/>
          <w:bCs/>
        </w:rPr>
      </w:pPr>
      <w:r>
        <w:rPr>
          <w:rFonts w:ascii="Arial" w:hAnsi="Arial" w:cs="Arial"/>
          <w:b/>
          <w:bCs/>
        </w:rPr>
        <w:t>Población</w:t>
      </w:r>
    </w:p>
    <w:p>
      <w:pPr>
        <w:autoSpaceDE w:val="0"/>
        <w:autoSpaceDN w:val="0"/>
        <w:adjustRightInd w:val="0"/>
        <w:spacing w:after="0" w:line="240" w:lineRule="auto"/>
        <w:ind w:left="-567" w:right="-801"/>
        <w:jc w:val="both"/>
        <w:rPr>
          <w:rFonts w:ascii="Arial" w:hAnsi="Arial" w:cs="Arial"/>
          <w:b/>
          <w:bCs/>
        </w:rPr>
      </w:pPr>
    </w:p>
    <w:p>
      <w:pPr>
        <w:autoSpaceDE w:val="0"/>
        <w:autoSpaceDN w:val="0"/>
        <w:adjustRightInd w:val="0"/>
        <w:spacing w:after="0" w:line="240" w:lineRule="auto"/>
        <w:ind w:left="-567" w:right="-801"/>
        <w:jc w:val="both"/>
        <w:rPr>
          <w:rFonts w:ascii="Arial" w:hAnsi="Arial" w:cs="Arial"/>
          <w:bCs/>
        </w:rPr>
      </w:pPr>
      <w:r>
        <w:rPr>
          <w:rFonts w:ascii="Arial" w:hAnsi="Arial" w:cs="Arial"/>
          <w:bCs/>
        </w:rPr>
        <w:t xml:space="preserve">Definición de la población objetivo: </w:t>
      </w:r>
      <w:r>
        <w:rPr>
          <w:rFonts w:ascii="Arial" w:eastAsia="Times New Roman" w:hAnsi="Arial" w:cs="Arial"/>
          <w:color w:val="0D0D0D" w:themeColor="text1" w:themeTint="F2"/>
          <w:sz w:val="18"/>
          <w:szCs w:val="20"/>
          <w:lang w:eastAsia="es-MX"/>
        </w:rPr>
        <w:t>Total de escuelas de educación básica federal transferido.</w:t>
      </w:r>
    </w:p>
    <w:p>
      <w:pPr>
        <w:autoSpaceDE w:val="0"/>
        <w:autoSpaceDN w:val="0"/>
        <w:adjustRightInd w:val="0"/>
        <w:spacing w:after="0" w:line="240" w:lineRule="auto"/>
        <w:ind w:left="-567" w:right="-801"/>
        <w:jc w:val="both"/>
        <w:rPr>
          <w:rFonts w:ascii="Arial" w:hAnsi="Arial" w:cs="Arial"/>
          <w:b/>
          <w:bCs/>
        </w:rPr>
      </w:pPr>
    </w:p>
    <w:p>
      <w:pPr>
        <w:autoSpaceDE w:val="0"/>
        <w:autoSpaceDN w:val="0"/>
        <w:adjustRightInd w:val="0"/>
        <w:spacing w:after="0" w:line="240" w:lineRule="auto"/>
        <w:ind w:left="-567" w:right="-801"/>
        <w:jc w:val="both"/>
        <w:rPr>
          <w:rFonts w:ascii="Arial" w:hAnsi="Arial" w:cs="Arial"/>
          <w:bCs/>
        </w:rPr>
      </w:pPr>
      <w:r>
        <w:rPr>
          <w:rFonts w:ascii="Arial" w:hAnsi="Arial" w:cs="Arial"/>
          <w:bCs/>
        </w:rPr>
        <w:t xml:space="preserve">Cuantificación de la población objetivo: 3,326 </w:t>
      </w:r>
      <w:r>
        <w:rPr>
          <w:rFonts w:ascii="Arial" w:eastAsia="Times New Roman" w:hAnsi="Arial" w:cs="Arial"/>
          <w:color w:val="0D0D0D" w:themeColor="text1" w:themeTint="F2"/>
          <w:sz w:val="18"/>
          <w:szCs w:val="20"/>
          <w:lang w:eastAsia="es-MX"/>
        </w:rPr>
        <w:t>escuelas de educación básica fede</w:t>
      </w:r>
      <w:bookmarkStart w:id="44" w:name="_GoBack"/>
      <w:bookmarkEnd w:id="44"/>
      <w:r>
        <w:rPr>
          <w:rFonts w:ascii="Arial" w:eastAsia="Times New Roman" w:hAnsi="Arial" w:cs="Arial"/>
          <w:color w:val="0D0D0D" w:themeColor="text1" w:themeTint="F2"/>
          <w:sz w:val="18"/>
          <w:szCs w:val="20"/>
          <w:lang w:eastAsia="es-MX"/>
        </w:rPr>
        <w:t>ral transferido.</w:t>
      </w:r>
    </w:p>
    <w:p>
      <w:pPr>
        <w:autoSpaceDE w:val="0"/>
        <w:autoSpaceDN w:val="0"/>
        <w:adjustRightInd w:val="0"/>
        <w:spacing w:after="0" w:line="240" w:lineRule="auto"/>
        <w:ind w:left="-567" w:right="-801"/>
        <w:jc w:val="both"/>
        <w:rPr>
          <w:rFonts w:ascii="Arial" w:hAnsi="Arial" w:cs="Arial"/>
          <w:b/>
          <w:bCs/>
        </w:rPr>
      </w:pPr>
    </w:p>
    <w:p>
      <w:pPr>
        <w:autoSpaceDE w:val="0"/>
        <w:autoSpaceDN w:val="0"/>
        <w:adjustRightInd w:val="0"/>
        <w:spacing w:after="0" w:line="240" w:lineRule="auto"/>
        <w:ind w:left="-567" w:right="-801"/>
        <w:jc w:val="both"/>
        <w:rPr>
          <w:rFonts w:ascii="Arial" w:hAnsi="Arial" w:cs="Arial"/>
          <w:b/>
          <w:bCs/>
        </w:rPr>
      </w:pPr>
      <w:r>
        <w:rPr>
          <w:rFonts w:ascii="Arial" w:hAnsi="Arial" w:cs="Arial"/>
          <w:b/>
          <w:bCs/>
        </w:rPr>
        <w:t>Estimación de metas para los indicadores de nivel propósito y componentes de la MIR 2023</w:t>
      </w:r>
    </w:p>
    <w:p>
      <w:pPr>
        <w:autoSpaceDE w:val="0"/>
        <w:autoSpaceDN w:val="0"/>
        <w:adjustRightInd w:val="0"/>
        <w:spacing w:after="0" w:line="240" w:lineRule="auto"/>
        <w:ind w:left="-567" w:right="-801"/>
        <w:jc w:val="both"/>
        <w:rPr>
          <w:rFonts w:ascii="Arial" w:hAnsi="Arial" w:cs="Arial"/>
          <w:color w:val="0D0D0D" w:themeColor="text1" w:themeTint="F2"/>
          <w:sz w:val="10"/>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sz w:val="12"/>
          <w:lang w:eastAsia="es-AR"/>
        </w:rPr>
      </w:pPr>
    </w:p>
    <w:p>
      <w:pPr>
        <w:autoSpaceDE w:val="0"/>
        <w:autoSpaceDN w:val="0"/>
        <w:adjustRightInd w:val="0"/>
        <w:spacing w:after="0" w:line="240" w:lineRule="auto"/>
        <w:ind w:left="-567" w:right="-801"/>
        <w:jc w:val="both"/>
        <w:rPr>
          <w:rFonts w:ascii="Arial" w:hAnsi="Arial" w:cs="Arial"/>
          <w:color w:val="0D0D0D" w:themeColor="text1" w:themeTint="F2"/>
          <w:lang w:eastAsia="es-AR"/>
        </w:rPr>
      </w:pPr>
    </w:p>
    <w:p>
      <w:pPr>
        <w:autoSpaceDE w:val="0"/>
        <w:autoSpaceDN w:val="0"/>
        <w:adjustRightInd w:val="0"/>
        <w:spacing w:after="0" w:line="240" w:lineRule="auto"/>
        <w:ind w:left="-567" w:right="-801"/>
        <w:jc w:val="both"/>
        <w:rPr>
          <w:rFonts w:ascii="Arial" w:hAnsi="Arial" w:cs="Arial"/>
          <w:color w:val="0D0D0D" w:themeColor="text1" w:themeTint="F2"/>
          <w:lang w:eastAsia="es-AR"/>
        </w:rPr>
      </w:pPr>
    </w:p>
    <w:tbl>
      <w:tblPr>
        <w:tblW w:w="6860" w:type="dxa"/>
        <w:jc w:val="center"/>
        <w:tblCellMar>
          <w:left w:w="70" w:type="dxa"/>
          <w:right w:w="70" w:type="dxa"/>
        </w:tblCellMar>
        <w:tblLook w:val="04A0" w:firstRow="1" w:lastRow="0" w:firstColumn="1" w:lastColumn="0" w:noHBand="0" w:noVBand="1"/>
      </w:tblPr>
      <w:tblGrid>
        <w:gridCol w:w="1838"/>
        <w:gridCol w:w="3827"/>
        <w:gridCol w:w="1195"/>
      </w:tblGrid>
      <w:tr>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pPr>
              <w:spacing w:after="0" w:line="240" w:lineRule="auto"/>
              <w:jc w:val="center"/>
              <w:rPr>
                <w:rFonts w:ascii="Calibri" w:eastAsia="Times New Roman" w:hAnsi="Calibri" w:cs="Times New Roman"/>
                <w:color w:val="FFFFFF"/>
                <w:lang w:val="es-MX" w:eastAsia="es-MX"/>
              </w:rPr>
            </w:pPr>
            <w:r>
              <w:rPr>
                <w:rFonts w:ascii="Calibri" w:eastAsia="Times New Roman" w:hAnsi="Calibri" w:cs="Times New Roman"/>
                <w:color w:val="FFFFFF"/>
                <w:lang w:val="es-MX" w:eastAsia="es-MX"/>
              </w:rPr>
              <w:t>Nivel</w:t>
            </w:r>
          </w:p>
        </w:tc>
        <w:tc>
          <w:tcPr>
            <w:tcW w:w="3827" w:type="dxa"/>
            <w:tcBorders>
              <w:top w:val="single" w:sz="4" w:space="0" w:color="auto"/>
              <w:left w:val="nil"/>
              <w:bottom w:val="single" w:sz="4" w:space="0" w:color="auto"/>
              <w:right w:val="single" w:sz="4" w:space="0" w:color="auto"/>
            </w:tcBorders>
            <w:shd w:val="clear" w:color="000000" w:fill="7030A0"/>
            <w:noWrap/>
            <w:vAlign w:val="center"/>
            <w:hideMark/>
          </w:tcPr>
          <w:p>
            <w:pPr>
              <w:spacing w:after="0" w:line="240" w:lineRule="auto"/>
              <w:jc w:val="center"/>
              <w:rPr>
                <w:rFonts w:ascii="Calibri" w:eastAsia="Times New Roman" w:hAnsi="Calibri" w:cs="Times New Roman"/>
                <w:color w:val="FFFFFF"/>
                <w:lang w:val="es-MX" w:eastAsia="es-MX"/>
              </w:rPr>
            </w:pPr>
            <w:r>
              <w:rPr>
                <w:rFonts w:ascii="Calibri" w:eastAsia="Times New Roman" w:hAnsi="Calibri" w:cs="Times New Roman"/>
                <w:color w:val="FFFFFF"/>
                <w:lang w:val="es-MX" w:eastAsia="es-MX"/>
              </w:rPr>
              <w:t>Nombre del Indicador</w:t>
            </w:r>
          </w:p>
        </w:tc>
        <w:tc>
          <w:tcPr>
            <w:tcW w:w="1195" w:type="dxa"/>
            <w:tcBorders>
              <w:top w:val="single" w:sz="4" w:space="0" w:color="auto"/>
              <w:left w:val="nil"/>
              <w:bottom w:val="single" w:sz="4" w:space="0" w:color="auto"/>
              <w:right w:val="single" w:sz="4" w:space="0" w:color="auto"/>
            </w:tcBorders>
            <w:shd w:val="clear" w:color="000000" w:fill="7030A0"/>
            <w:noWrap/>
            <w:vAlign w:val="center"/>
            <w:hideMark/>
          </w:tcPr>
          <w:p>
            <w:pPr>
              <w:spacing w:after="0" w:line="240" w:lineRule="auto"/>
              <w:jc w:val="center"/>
              <w:rPr>
                <w:rFonts w:ascii="Calibri" w:eastAsia="Times New Roman" w:hAnsi="Calibri" w:cs="Times New Roman"/>
                <w:color w:val="FFFFFF"/>
                <w:lang w:val="es-MX" w:eastAsia="es-MX"/>
              </w:rPr>
            </w:pPr>
            <w:r>
              <w:rPr>
                <w:rFonts w:ascii="Calibri" w:eastAsia="Times New Roman" w:hAnsi="Calibri" w:cs="Times New Roman"/>
                <w:color w:val="FFFFFF"/>
                <w:lang w:val="es-MX" w:eastAsia="es-MX"/>
              </w:rPr>
              <w:t>Metas</w:t>
            </w:r>
          </w:p>
        </w:tc>
      </w:tr>
      <w:tr>
        <w:trPr>
          <w:trHeight w:val="5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PROPÓSITO</w:t>
            </w:r>
          </w:p>
        </w:tc>
        <w:tc>
          <w:tcPr>
            <w:tcW w:w="3827"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escuelas federal transferido con al menos tres aspectos de ambientes escolares favorables atendidos</w:t>
            </w:r>
          </w:p>
        </w:tc>
        <w:tc>
          <w:tcPr>
            <w:tcW w:w="119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100%</w:t>
            </w:r>
          </w:p>
        </w:tc>
      </w:tr>
      <w:tr>
        <w:trPr>
          <w:trHeight w:val="427"/>
          <w:jc w:val="center"/>
        </w:trPr>
        <w:tc>
          <w:tcPr>
            <w:tcW w:w="1838" w:type="dxa"/>
            <w:vMerge w:val="restart"/>
            <w:tcBorders>
              <w:top w:val="nil"/>
              <w:left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Componente 1</w:t>
            </w:r>
          </w:p>
        </w:tc>
        <w:tc>
          <w:tcPr>
            <w:tcW w:w="3827"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escuelas beneficiadas con libros de texto gratuitos.</w:t>
            </w:r>
          </w:p>
        </w:tc>
        <w:tc>
          <w:tcPr>
            <w:tcW w:w="119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80.80%</w:t>
            </w:r>
          </w:p>
        </w:tc>
      </w:tr>
      <w:tr>
        <w:trPr>
          <w:trHeight w:val="418"/>
          <w:jc w:val="center"/>
        </w:trPr>
        <w:tc>
          <w:tcPr>
            <w:tcW w:w="1838" w:type="dxa"/>
            <w:vMerge/>
            <w:tcBorders>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p>
        </w:tc>
        <w:tc>
          <w:tcPr>
            <w:tcW w:w="3827"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paquetes de material didáctico y artículos de limpieza entregados.</w:t>
            </w:r>
          </w:p>
        </w:tc>
        <w:tc>
          <w:tcPr>
            <w:tcW w:w="1195"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100%</w:t>
            </w:r>
          </w:p>
        </w:tc>
      </w:tr>
      <w:tr>
        <w:trPr>
          <w:trHeight w:val="344"/>
          <w:jc w:val="center"/>
        </w:trPr>
        <w:tc>
          <w:tcPr>
            <w:tcW w:w="1838" w:type="dxa"/>
            <w:vMerge w:val="restart"/>
            <w:tcBorders>
              <w:top w:val="nil"/>
              <w:left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Componente 2</w:t>
            </w:r>
          </w:p>
        </w:tc>
        <w:tc>
          <w:tcPr>
            <w:tcW w:w="3827"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centros educativos de educación básica pública con conectividad mejorada</w:t>
            </w:r>
          </w:p>
        </w:tc>
        <w:tc>
          <w:tcPr>
            <w:tcW w:w="119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3.29%</w:t>
            </w:r>
          </w:p>
        </w:tc>
      </w:tr>
      <w:tr>
        <w:trPr>
          <w:trHeight w:val="437"/>
          <w:jc w:val="center"/>
        </w:trPr>
        <w:tc>
          <w:tcPr>
            <w:tcW w:w="1838" w:type="dxa"/>
            <w:vMerge/>
            <w:tcBorders>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p>
        </w:tc>
        <w:tc>
          <w:tcPr>
            <w:tcW w:w="3827"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centros educativos de educación básica pública con infraestructura mejorada.</w:t>
            </w:r>
          </w:p>
        </w:tc>
        <w:tc>
          <w:tcPr>
            <w:tcW w:w="1195"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23.95%</w:t>
            </w:r>
          </w:p>
        </w:tc>
      </w:tr>
      <w:tr>
        <w:trPr>
          <w:trHeight w:val="436"/>
          <w:jc w:val="center"/>
        </w:trPr>
        <w:tc>
          <w:tcPr>
            <w:tcW w:w="1838" w:type="dxa"/>
            <w:vMerge w:val="restart"/>
            <w:tcBorders>
              <w:top w:val="nil"/>
              <w:left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Componente 3</w:t>
            </w:r>
          </w:p>
        </w:tc>
        <w:tc>
          <w:tcPr>
            <w:tcW w:w="3827"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Promedio de Asociaciones de Padres de Familia atendidas de septiembre a diciembre.</w:t>
            </w:r>
          </w:p>
        </w:tc>
        <w:tc>
          <w:tcPr>
            <w:tcW w:w="1195"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0.96</w:t>
            </w:r>
          </w:p>
        </w:tc>
      </w:tr>
      <w:tr>
        <w:trPr>
          <w:trHeight w:val="414"/>
          <w:jc w:val="center"/>
        </w:trPr>
        <w:tc>
          <w:tcPr>
            <w:tcW w:w="1838" w:type="dxa"/>
            <w:vMerge/>
            <w:tcBorders>
              <w:left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p>
        </w:tc>
        <w:tc>
          <w:tcPr>
            <w:tcW w:w="3827"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Asociaciones de Padres de Familia atendidas de enero a agosto.</w:t>
            </w:r>
          </w:p>
        </w:tc>
        <w:tc>
          <w:tcPr>
            <w:tcW w:w="1195"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80.75</w:t>
            </w:r>
          </w:p>
        </w:tc>
      </w:tr>
      <w:tr>
        <w:trPr>
          <w:trHeight w:val="765"/>
          <w:jc w:val="center"/>
        </w:trPr>
        <w:tc>
          <w:tcPr>
            <w:tcW w:w="1838" w:type="dxa"/>
            <w:vMerge/>
            <w:tcBorders>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p>
        </w:tc>
        <w:tc>
          <w:tcPr>
            <w:tcW w:w="3827"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Arial,Bold" w:hAnsi="Arial,Bold" w:cs="Arial,Bold"/>
                <w:b/>
                <w:bCs/>
                <w:sz w:val="16"/>
                <w:szCs w:val="16"/>
                <w:lang w:val="es-ES"/>
              </w:rPr>
            </w:pPr>
            <w:r>
              <w:rPr>
                <w:rFonts w:ascii="Arial,Bold" w:hAnsi="Arial,Bold" w:cs="Arial,Bold"/>
                <w:b/>
                <w:bCs/>
                <w:sz w:val="16"/>
                <w:szCs w:val="16"/>
                <w:lang w:val="es-ES"/>
              </w:rPr>
              <w:t>Porcentaje de Consejos Escolares de Participación Social atendidos de enero a agosto</w:t>
            </w:r>
          </w:p>
        </w:tc>
        <w:tc>
          <w:tcPr>
            <w:tcW w:w="119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62.25</w:t>
            </w:r>
          </w:p>
        </w:tc>
      </w:tr>
    </w:tbl>
    <w:p>
      <w:pPr>
        <w:autoSpaceDE w:val="0"/>
        <w:autoSpaceDN w:val="0"/>
        <w:adjustRightInd w:val="0"/>
        <w:spacing w:after="0" w:line="240" w:lineRule="auto"/>
        <w:ind w:left="-567" w:right="-801"/>
        <w:jc w:val="both"/>
        <w:rPr>
          <w:rFonts w:ascii="Arial" w:hAnsi="Arial" w:cs="Arial"/>
          <w:color w:val="0D0D0D" w:themeColor="text1" w:themeTint="F2"/>
          <w:lang w:eastAsia="es-AR"/>
        </w:rPr>
      </w:pPr>
    </w:p>
    <w:p>
      <w:pPr>
        <w:autoSpaceDE w:val="0"/>
        <w:autoSpaceDN w:val="0"/>
        <w:adjustRightInd w:val="0"/>
        <w:spacing w:after="0" w:line="240" w:lineRule="auto"/>
        <w:ind w:left="-567" w:right="-801"/>
        <w:jc w:val="both"/>
        <w:rPr>
          <w:rFonts w:ascii="Arial" w:hAnsi="Arial" w:cs="Arial"/>
          <w:color w:val="0D0D0D" w:themeColor="text1" w:themeTint="F2"/>
          <w:lang w:eastAsia="es-AR"/>
        </w:rPr>
      </w:pPr>
    </w:p>
    <w:p>
      <w:pPr>
        <w:pStyle w:val="Ttulo1"/>
        <w:spacing w:line="256" w:lineRule="auto"/>
        <w:ind w:left="-567" w:right="-801"/>
        <w:rPr>
          <w:rFonts w:ascii="Arial" w:hAnsi="Arial" w:cs="Arial"/>
          <w:i/>
          <w:sz w:val="24"/>
        </w:rPr>
      </w:pPr>
      <w:bookmarkStart w:id="45" w:name="_Toc121749453"/>
      <w:r>
        <w:rPr>
          <w:rFonts w:ascii="Arial" w:hAnsi="Arial" w:cs="Arial"/>
          <w:i/>
          <w:sz w:val="24"/>
        </w:rPr>
        <w:t>ANEXO II. COMPLEMENTARIEDADES Y COINCIDENCIAS ENTRE PROGRAMAS</w:t>
      </w:r>
      <w:bookmarkEnd w:id="45"/>
    </w:p>
    <w:p>
      <w:pPr>
        <w:ind w:left="-567" w:right="-801"/>
        <w:rPr>
          <w:rFonts w:ascii="Arial" w:hAnsi="Arial" w:cs="Arial"/>
        </w:rPr>
      </w:pPr>
    </w:p>
    <w:tbl>
      <w:tblPr>
        <w:tblW w:w="10320" w:type="dxa"/>
        <w:jc w:val="center"/>
        <w:tblLayout w:type="fixed"/>
        <w:tblCellMar>
          <w:left w:w="70" w:type="dxa"/>
          <w:right w:w="70" w:type="dxa"/>
        </w:tblCellMar>
        <w:tblLook w:val="04A0" w:firstRow="1" w:lastRow="0" w:firstColumn="1" w:lastColumn="0" w:noHBand="0" w:noVBand="1"/>
      </w:tblPr>
      <w:tblGrid>
        <w:gridCol w:w="846"/>
        <w:gridCol w:w="1276"/>
        <w:gridCol w:w="1134"/>
        <w:gridCol w:w="992"/>
        <w:gridCol w:w="1134"/>
        <w:gridCol w:w="1134"/>
        <w:gridCol w:w="1877"/>
        <w:gridCol w:w="1927"/>
      </w:tblGrid>
      <w:tr>
        <w:trPr>
          <w:trHeight w:val="975"/>
          <w:jc w:val="center"/>
        </w:trPr>
        <w:tc>
          <w:tcPr>
            <w:tcW w:w="846"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Nombre del Pp</w:t>
            </w:r>
          </w:p>
        </w:tc>
        <w:tc>
          <w:tcPr>
            <w:tcW w:w="1276"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7"/>
                <w:szCs w:val="17"/>
                <w:lang w:val="es-MX" w:eastAsia="es-MX"/>
              </w:rPr>
              <w:t xml:space="preserve">Dependencia </w:t>
            </w:r>
            <w:r>
              <w:rPr>
                <w:rFonts w:ascii="Arial" w:eastAsia="Times New Roman" w:hAnsi="Arial" w:cs="Arial"/>
                <w:b/>
                <w:bCs/>
                <w:color w:val="FFFFFF" w:themeColor="background1"/>
                <w:sz w:val="18"/>
                <w:lang w:val="es-MX" w:eastAsia="es-MX"/>
              </w:rPr>
              <w:t>o entidad:</w:t>
            </w:r>
          </w:p>
        </w:tc>
        <w:tc>
          <w:tcPr>
            <w:tcW w:w="1134"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Propósito</w:t>
            </w:r>
          </w:p>
        </w:tc>
        <w:tc>
          <w:tcPr>
            <w:tcW w:w="992"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 xml:space="preserve"> Población objetivo </w:t>
            </w:r>
          </w:p>
        </w:tc>
        <w:tc>
          <w:tcPr>
            <w:tcW w:w="1134"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 xml:space="preserve">Cobertura geográfica </w:t>
            </w:r>
          </w:p>
        </w:tc>
        <w:tc>
          <w:tcPr>
            <w:tcW w:w="1134"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Bien y/o servicio otorgado</w:t>
            </w:r>
          </w:p>
        </w:tc>
        <w:tc>
          <w:tcPr>
            <w:tcW w:w="1877"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Similitudes, Duplicidad o Complementariedad</w:t>
            </w:r>
          </w:p>
        </w:tc>
        <w:tc>
          <w:tcPr>
            <w:tcW w:w="1927" w:type="dxa"/>
            <w:tcBorders>
              <w:top w:val="single" w:sz="4" w:space="0" w:color="auto"/>
              <w:left w:val="single" w:sz="4" w:space="0" w:color="auto"/>
              <w:bottom w:val="single" w:sz="4" w:space="0" w:color="548235"/>
              <w:right w:val="single" w:sz="4" w:space="0" w:color="auto"/>
            </w:tcBorders>
            <w:shd w:val="clear" w:color="auto" w:fill="7030A0"/>
            <w:vAlign w:val="center"/>
            <w:hideMark/>
          </w:tcPr>
          <w:p>
            <w:pPr>
              <w:spacing w:after="0" w:line="240" w:lineRule="auto"/>
              <w:jc w:val="center"/>
              <w:rPr>
                <w:rFonts w:ascii="Arial" w:eastAsia="Times New Roman" w:hAnsi="Arial" w:cs="Arial"/>
                <w:b/>
                <w:bCs/>
                <w:color w:val="FFFFFF" w:themeColor="background1"/>
                <w:sz w:val="18"/>
                <w:lang w:val="es-MX" w:eastAsia="es-MX"/>
              </w:rPr>
            </w:pPr>
            <w:r>
              <w:rPr>
                <w:rFonts w:ascii="Arial" w:eastAsia="Times New Roman" w:hAnsi="Arial" w:cs="Arial"/>
                <w:b/>
                <w:bCs/>
                <w:color w:val="FFFFFF" w:themeColor="background1"/>
                <w:sz w:val="18"/>
                <w:lang w:val="es-MX" w:eastAsia="es-MX"/>
              </w:rPr>
              <w:t>Explicación</w:t>
            </w:r>
          </w:p>
        </w:tc>
      </w:tr>
      <w:tr>
        <w:trPr>
          <w:trHeight w:val="4146"/>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6"/>
                <w:lang w:val="es-MX" w:eastAsia="es-MX"/>
              </w:rPr>
            </w:pPr>
            <w:r>
              <w:rPr>
                <w:rFonts w:ascii="Arial" w:eastAsia="Times New Roman" w:hAnsi="Arial" w:cs="Arial"/>
                <w:color w:val="000000"/>
                <w:sz w:val="16"/>
                <w:lang w:val="es-MX" w:eastAsia="es-MX"/>
              </w:rPr>
              <w:t>2E209C1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6"/>
                <w:lang w:val="es-MX" w:eastAsia="es-MX"/>
              </w:rPr>
            </w:pPr>
            <w:r>
              <w:rPr>
                <w:rFonts w:ascii="Arial" w:eastAsia="Times New Roman" w:hAnsi="Arial" w:cs="Arial"/>
                <w:color w:val="000000"/>
                <w:sz w:val="16"/>
                <w:lang w:val="es-MX" w:eastAsia="es-MX"/>
              </w:rPr>
              <w:t>SEECH</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lang w:val="es-MX" w:eastAsia="es-MX"/>
              </w:rPr>
            </w:pPr>
            <w:r>
              <w:rPr>
                <w:rFonts w:ascii="Arial" w:eastAsia="Times New Roman" w:hAnsi="Arial" w:cs="Arial"/>
                <w:color w:val="000000"/>
                <w:sz w:val="18"/>
                <w:lang w:val="es-MX" w:eastAsia="es-MX"/>
              </w:rPr>
              <w:t>Los centros de trabajo de educación básica federal transferido cuentan con mayor capacidad para cubrir la demanda educativa en la entidad.</w:t>
            </w:r>
          </w:p>
        </w:tc>
        <w:tc>
          <w:tcPr>
            <w:tcW w:w="99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lang w:val="es-MX" w:eastAsia="es-MX"/>
              </w:rPr>
            </w:pPr>
            <w:r>
              <w:rPr>
                <w:rFonts w:ascii="Arial" w:eastAsia="Times New Roman" w:hAnsi="Arial" w:cs="Arial"/>
                <w:color w:val="000000"/>
                <w:sz w:val="18"/>
                <w:lang w:val="es-MX" w:eastAsia="es-MX"/>
              </w:rPr>
              <w:t xml:space="preserve">Centros de trabajo de educación básica federal </w:t>
            </w:r>
            <w:r>
              <w:rPr>
                <w:rFonts w:ascii="Arial" w:eastAsia="Times New Roman" w:hAnsi="Arial" w:cs="Arial"/>
                <w:color w:val="000000"/>
                <w:sz w:val="17"/>
                <w:szCs w:val="17"/>
                <w:lang w:val="es-MX" w:eastAsia="es-MX"/>
              </w:rPr>
              <w:t>transferido</w:t>
            </w:r>
            <w:r>
              <w:rPr>
                <w:rFonts w:ascii="Arial" w:eastAsia="Times New Roman" w:hAnsi="Arial" w:cs="Arial"/>
                <w:color w:val="000000"/>
                <w:sz w:val="16"/>
                <w:lang w:val="es-MX" w:eastAsia="es-MX"/>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lang w:val="es-MX" w:eastAsia="es-MX"/>
              </w:rPr>
            </w:pPr>
            <w:r>
              <w:rPr>
                <w:rFonts w:ascii="Arial" w:eastAsia="Times New Roman" w:hAnsi="Arial" w:cs="Arial"/>
                <w:color w:val="000000"/>
                <w:sz w:val="18"/>
                <w:lang w:val="es-MX" w:eastAsia="es-MX"/>
              </w:rPr>
              <w:t>Estatal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lang w:val="es-MX" w:eastAsia="es-MX"/>
              </w:rPr>
            </w:pPr>
            <w:r>
              <w:rPr>
                <w:rFonts w:ascii="Arial" w:eastAsia="Times New Roman" w:hAnsi="Arial" w:cs="Arial"/>
                <w:color w:val="000000"/>
                <w:sz w:val="18"/>
                <w:lang w:val="es-MX" w:eastAsia="es-MX"/>
              </w:rPr>
              <w:t>Recursos para la operatividad de los centros de trabajo de Servicios Educativos del Estado de Chihuahua brindados.</w:t>
            </w:r>
          </w:p>
        </w:tc>
        <w:tc>
          <w:tcPr>
            <w:tcW w:w="1877"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lang w:val="es-MX" w:eastAsia="es-MX"/>
              </w:rPr>
            </w:pPr>
            <w:r>
              <w:rPr>
                <w:rFonts w:ascii="Arial" w:eastAsia="Times New Roman" w:hAnsi="Arial" w:cs="Arial"/>
                <w:color w:val="000000"/>
                <w:sz w:val="18"/>
                <w:lang w:val="es-MX" w:eastAsia="es-MX"/>
              </w:rPr>
              <w:t>Complementariedad</w:t>
            </w:r>
          </w:p>
        </w:tc>
        <w:tc>
          <w:tcPr>
            <w:tcW w:w="1927"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lang w:val="es-MX" w:eastAsia="es-MX"/>
              </w:rPr>
            </w:pPr>
            <w:r>
              <w:rPr>
                <w:rFonts w:ascii="Arial" w:eastAsia="Times New Roman" w:hAnsi="Arial" w:cs="Arial"/>
                <w:color w:val="000000"/>
                <w:sz w:val="18"/>
                <w:lang w:val="es-MX" w:eastAsia="es-MX"/>
              </w:rPr>
              <w:t>Los componentes que proporciona el Programa Gestión para la Educación Básica, Normal y Posgrado son necesarios para que el Programa Servicios para la Calidad en Educación Básica esté en posibilidad de entregar los libros de texto y llevar a cabo el mejoramiento de los centros educativos de Educación Básica.</w:t>
            </w:r>
          </w:p>
        </w:tc>
      </w:tr>
    </w:tbl>
    <w:p>
      <w:pPr>
        <w:ind w:left="-567" w:right="-801"/>
        <w:rPr>
          <w:rFonts w:ascii="Arial" w:hAnsi="Arial" w:cs="Arial"/>
          <w:lang w:val="es-MX"/>
        </w:rPr>
      </w:pPr>
    </w:p>
    <w:sectPr>
      <w:footerReference w:type="default" r:id="rId12"/>
      <w:pgSz w:w="12240" w:h="15840"/>
      <w:pgMar w:top="1417" w:right="1701" w:bottom="1417"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55761"/>
      <w:docPartObj>
        <w:docPartGallery w:val="Page Numbers (Bottom of Page)"/>
        <w:docPartUnique/>
      </w:docPartObj>
    </w:sdtPr>
    <w:sdtContent>
      <w:p>
        <w:pPr>
          <w:pStyle w:val="Piedepgina"/>
          <w:jc w:val="right"/>
        </w:pPr>
        <w:r>
          <w:fldChar w:fldCharType="begin"/>
        </w:r>
        <w:r>
          <w:instrText>PAGE   \* MERGEFORMAT</w:instrText>
        </w:r>
        <w:r>
          <w:fldChar w:fldCharType="separate"/>
        </w:r>
        <w:r>
          <w:rPr>
            <w:noProof/>
            <w:lang w:val="es-ES"/>
          </w:rPr>
          <w:t>2</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569935"/>
      <w:docPartObj>
        <w:docPartGallery w:val="Page Numbers (Bottom of Page)"/>
        <w:docPartUnique/>
      </w:docPartObj>
    </w:sdtPr>
    <w:sdtContent>
      <w:p>
        <w:pPr>
          <w:pStyle w:val="Piedepgina"/>
          <w:jc w:val="right"/>
        </w:pPr>
        <w:r>
          <w:fldChar w:fldCharType="begin"/>
        </w:r>
        <w:r>
          <w:instrText>PAGE   \* MERGEFORMAT</w:instrText>
        </w:r>
        <w:r>
          <w:fldChar w:fldCharType="separate"/>
        </w:r>
        <w:r>
          <w:rPr>
            <w:noProof/>
            <w:lang w:val="es-ES"/>
          </w:rPr>
          <w:t>27</w:t>
        </w:r>
        <w: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567"/>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https://www.gob.mx/cms/uploads/attachment/file/154432/Lineamientos_Evaluaci_n_Programas.pdf</w:t>
      </w:r>
    </w:p>
    <w:p>
      <w:pPr>
        <w:pStyle w:val="Textonotapie"/>
      </w:pPr>
    </w:p>
  </w:footnote>
  <w:footnote w:id="2">
    <w:p>
      <w:pPr>
        <w:pStyle w:val="Textonotapie"/>
        <w:ind w:left="-567" w:right="-801"/>
      </w:pPr>
      <w:r>
        <w:rPr>
          <w:rStyle w:val="Refdenotaalpie"/>
        </w:rPr>
        <w:footnoteRef/>
      </w:r>
      <w:r>
        <w:t xml:space="preserve"> SITEAL, UNESCO, IIPE. ‘’EDUCACIÓN BÁSICA’’. </w:t>
      </w:r>
      <w:hyperlink r:id="rId1" w:history="1">
        <w:r>
          <w:rPr>
            <w:rStyle w:val="Hipervnculo"/>
          </w:rPr>
          <w:t>https://siteal.iiep.unesco.org/</w:t>
        </w:r>
      </w:hyperlink>
      <w:r>
        <w:t xml:space="preserve"> . 2019. </w:t>
      </w:r>
      <w:hyperlink r:id="rId2" w:history="1">
        <w:r>
          <w:rPr>
            <w:rStyle w:val="Hipervnculo"/>
          </w:rPr>
          <w:t>https://siteal.iiep.unesco.org/sites/default/files/sit_informe_pdfs/siteal_educacion_basica_20190521.pdf</w:t>
        </w:r>
      </w:hyperlink>
      <w:r>
        <w:t xml:space="preserve"> . 23/08/2022.</w:t>
      </w:r>
    </w:p>
  </w:footnote>
  <w:footnote w:id="3">
    <w:p>
      <w:pPr>
        <w:pStyle w:val="Textonotapie"/>
        <w:ind w:left="-567" w:right="-660"/>
      </w:pPr>
      <w:r>
        <w:rPr>
          <w:rStyle w:val="Refdenotaalpie"/>
        </w:rPr>
        <w:footnoteRef/>
      </w:r>
      <w:r>
        <w:t xml:space="preserve"> DIARIO OFICIAL DE LA FEDERACIÓN. ‘’</w:t>
      </w:r>
      <w:r>
        <w:rPr>
          <w:rFonts w:cs="Arial"/>
          <w:szCs w:val="18"/>
        </w:rPr>
        <w:t xml:space="preserve"> DECRETO por el que se reforman, adicionan y derogan diversas disposiciones de los artículos 3o., 31 y 73 de la Constitución Política de los Estados Unidos Mexicanos, en materia educativa’’. </w:t>
      </w:r>
      <w:hyperlink r:id="rId3" w:history="1">
        <w:r>
          <w:rPr>
            <w:rStyle w:val="Hipervnculo"/>
            <w:rFonts w:cs="Arial"/>
            <w:szCs w:val="18"/>
          </w:rPr>
          <w:t>https://www.dof.gob.mx</w:t>
        </w:r>
      </w:hyperlink>
      <w:r>
        <w:rPr>
          <w:rFonts w:cs="Arial"/>
          <w:szCs w:val="18"/>
        </w:rPr>
        <w:t xml:space="preserve">. .2019. </w:t>
      </w:r>
      <w:hyperlink r:id="rId4" w:anchor="gsc.tab=0" w:history="1">
        <w:r>
          <w:rPr>
            <w:rStyle w:val="Hipervnculo"/>
            <w:rFonts w:cs="Arial"/>
            <w:szCs w:val="18"/>
          </w:rPr>
          <w:t>https://www.dof.gob.mx/nota_detalle.php?codigo=5560457&amp;fecha=15/05/2019#gsc.tab=0</w:t>
        </w:r>
      </w:hyperlink>
      <w:r>
        <w:rPr>
          <w:rFonts w:cs="Arial"/>
          <w:szCs w:val="18"/>
        </w:rPr>
        <w:t xml:space="preserve"> .23/08/2022.</w:t>
      </w:r>
    </w:p>
  </w:footnote>
  <w:footnote w:id="4">
    <w:p>
      <w:pPr>
        <w:pStyle w:val="Textonotapie"/>
        <w:ind w:left="-567"/>
      </w:pPr>
      <w:r>
        <w:rPr>
          <w:rStyle w:val="Refdenotaalpie"/>
        </w:rPr>
        <w:footnoteRef/>
      </w:r>
      <w:r>
        <w:t xml:space="preserve"> </w:t>
      </w:r>
      <w:r>
        <w:rPr>
          <w:rFonts w:eastAsiaTheme="minorHAnsi" w:cs="Arial"/>
          <w:sz w:val="16"/>
          <w:szCs w:val="16"/>
          <w:lang w:val="es-ES_tradnl"/>
        </w:rPr>
        <w:t>Fuente: SEP/</w:t>
      </w:r>
      <w:proofErr w:type="spellStart"/>
      <w:r>
        <w:rPr>
          <w:rFonts w:eastAsiaTheme="minorHAnsi" w:cs="Arial"/>
          <w:sz w:val="16"/>
          <w:szCs w:val="16"/>
          <w:lang w:val="es-ES_tradnl"/>
        </w:rPr>
        <w:t>DGPPyEE</w:t>
      </w:r>
      <w:proofErr w:type="spellEnd"/>
    </w:p>
  </w:footnote>
  <w:footnote w:id="5">
    <w:p>
      <w:pPr>
        <w:pStyle w:val="Textonotapie"/>
        <w:ind w:left="-851" w:hanging="1"/>
      </w:pPr>
      <w:r>
        <w:rPr>
          <w:rStyle w:val="Refdenotaalpie"/>
        </w:rPr>
        <w:footnoteRef/>
      </w:r>
      <w:r>
        <w:t xml:space="preserve"> Servicios Educativos del Estado de Chihuahua. Manual de Organización de Servicios Educativos del Estado de Chihuahua. Autorizado el 14 de diciembre de 2017. Fecha de actualización 29 de septiembre de 2021.</w:t>
      </w:r>
    </w:p>
  </w:footnote>
  <w:footnote w:id="6">
    <w:p>
      <w:pPr>
        <w:pStyle w:val="Textonotapie"/>
        <w:ind w:left="-993"/>
      </w:pPr>
      <w:r>
        <w:rPr>
          <w:rStyle w:val="Refdenotaalpie"/>
        </w:rPr>
        <w:footnoteRef/>
      </w:r>
      <w:r>
        <w:t xml:space="preserve"> Gobierno del Estado de Chihuahua. Acuerdo No. 31. Folleto Anexo al Periódico Oficial No. 41. Chihuahua. 20 de mayo de 1992.</w:t>
      </w:r>
    </w:p>
  </w:footnote>
  <w:footnote w:id="7">
    <w:p>
      <w:pPr>
        <w:pStyle w:val="Textonotapie"/>
        <w:ind w:left="-709"/>
      </w:pPr>
      <w:r>
        <w:rPr>
          <w:rStyle w:val="Refdenotaalpie"/>
        </w:rPr>
        <w:footnoteRef/>
      </w:r>
      <w:r>
        <w:rPr>
          <w:rStyle w:val="Refdenotaalpie"/>
        </w:rPr>
        <w:footnoteRef/>
      </w:r>
      <w:r>
        <w:t xml:space="preserve"> Servicios Educativos del Estado de Chihuahua. Manual de Organización de Servicios Educativos del Estado de Chihuahua. Autorizado el 14 de diciembre de 2017. Fecha de actualización 29 de septiembre de 2021.</w:t>
      </w:r>
    </w:p>
  </w:footnote>
  <w:footnote w:id="8">
    <w:p>
      <w:pPr>
        <w:pStyle w:val="Textonotapie"/>
        <w:ind w:left="-709"/>
      </w:pPr>
      <w:r>
        <w:rPr>
          <w:rStyle w:val="Refdenotaalpie"/>
        </w:rPr>
        <w:footnoteRef/>
      </w:r>
      <w:r>
        <w:t xml:space="preserve"> Gobierno del Estado de Chihuahua. Acuerdo No. 31. Folleto Anexo al Periódico Oficial No. 41. Chihuahua. 20 de mayo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val="en-US" w:eastAsia="en-US"/>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-246295</wp:posOffset>
              </wp:positionV>
              <wp:extent cx="6522144" cy="685648"/>
              <wp:effectExtent l="0" t="0" r="0" b="635"/>
              <wp:wrapNone/>
              <wp:docPr id="1"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144" cy="685648"/>
                        <a:chOff x="0" y="0"/>
                        <a:chExt cx="65227" cy="6857"/>
                      </a:xfrm>
                    </wpg:grpSpPr>
                    <pic:pic xmlns:pic="http://schemas.openxmlformats.org/drawingml/2006/picture">
                      <pic:nvPicPr>
                        <pic:cNvPr id="4"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E9B1B1" id="Grupo 80" o:spid="_x0000_s1026" style="position:absolute;margin-left:0;margin-top:-19.4pt;width:513.55pt;height:54pt;z-index:251659264;mso-position-horizontal:center;mso-position-horizontal-relative:margin"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eICbEAAAA2gAAAA8AAABkcnMvZG93bnJldi54bWxEj0FrwkAUhO+C/2F5Qi+im0gtbXSVUqkI&#10;xYOp9PzIPrPB7NuYXTX117sFocdhZr5h5svO1uJCra8cK0jHCQjiwumKSwX778/RKwgfkDXWjknB&#10;L3lYLvq9OWbaXXlHlzyUIkLYZ6jAhNBkUvrCkEU/dg1x9A6utRiibEupW7xGuK3lJElepMWK44LB&#10;hj4MFcf8bBWsT/S1TjfD8+Fte/tZnaa7tMqNUk+D7n0GIlAX/sOP9kYreIa/K/EG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eICbEAAAA2gAAAA8AAAAAAAAAAAAAAAAA&#10;nwIAAGRycy9kb3ducmV2LnhtbFBLBQYAAAAABAAEAPcAAACQAw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NCqfDAAAA2gAAAA8AAABkcnMvZG93bnJldi54bWxEj92KwjAUhO8F3yEcYe80Vegi1SgiCsKy&#10;rOsP3h6aY1tsTmoTbd2nNwuCl8PMfMNM560pxZ1qV1hWMBxEIIhTqwvOFBz26/4YhPPIGkvLpOBB&#10;DuazbmeKibYN/9J95zMRIOwSVJB7XyVSujQng25gK+LgnW1t0AdZZ1LX2AS4KeUoij6lwYLDQo4V&#10;LXNKL7ubUdCsvlYu/v478fV4jh8/UXZyfqvUR69dTEB4av07/GpvtIIY/q+EG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w0Kp8MAAADaAAAADwAAAAAAAAAAAAAAAACf&#10;AgAAZHJzL2Rvd25yZXYueG1sUEsFBgAAAAAEAAQA9wAAAI8DAAAAAA==&#10;">
                <v:imagedata r:id="rId4" o:title=""/>
                <v:path arrowok="t"/>
                <o:lock v:ext="edit" aspectratio="f"/>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D72056"/>
    <w:multiLevelType w:val="multilevel"/>
    <w:tmpl w:val="C990583C"/>
    <w:lvl w:ilvl="0">
      <w:start w:val="1"/>
      <w:numFmt w:val="decimal"/>
      <w:lvlText w:val="%1."/>
      <w:lvlJc w:val="left"/>
      <w:pPr>
        <w:ind w:left="360" w:hanging="360"/>
      </w:pPr>
    </w:lvl>
    <w:lvl w:ilvl="1">
      <w:start w:val="1"/>
      <w:numFmt w:val="decimal"/>
      <w:lvlText w:val="%1.%2."/>
      <w:lvlJc w:val="left"/>
      <w:pPr>
        <w:ind w:left="857"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41073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F60AA4"/>
    <w:multiLevelType w:val="multilevel"/>
    <w:tmpl w:val="6324D94A"/>
    <w:styleLink w:val="Estilo95"/>
    <w:lvl w:ilvl="0">
      <w:start w:val="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D44C58"/>
    <w:multiLevelType w:val="multilevel"/>
    <w:tmpl w:val="6324D94A"/>
    <w:styleLink w:val="Estilo97"/>
    <w:lvl w:ilvl="0">
      <w:start w:val="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BA0092"/>
    <w:multiLevelType w:val="multilevel"/>
    <w:tmpl w:val="6324D94A"/>
    <w:styleLink w:val="Estilo101"/>
    <w:lvl w:ilvl="0">
      <w:start w:val="13"/>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1815053F"/>
    <w:multiLevelType w:val="multilevel"/>
    <w:tmpl w:val="6324D94A"/>
    <w:styleLink w:val="Estilo98"/>
    <w:lvl w:ilvl="0">
      <w:start w:val="10"/>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99B098E"/>
    <w:multiLevelType w:val="hybridMultilevel"/>
    <w:tmpl w:val="84D460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60D7360"/>
    <w:multiLevelType w:val="multilevel"/>
    <w:tmpl w:val="6324D94A"/>
    <w:styleLink w:val="Estilo104"/>
    <w:lvl w:ilvl="0">
      <w:start w:val="1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27C445DD"/>
    <w:multiLevelType w:val="multilevel"/>
    <w:tmpl w:val="6324D94A"/>
    <w:styleLink w:val="Estilo100"/>
    <w:lvl w:ilvl="0">
      <w:start w:val="12"/>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292A6522"/>
    <w:multiLevelType w:val="multilevel"/>
    <w:tmpl w:val="9EC2F44E"/>
    <w:styleLink w:val="Estilo114"/>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9E73F6D"/>
    <w:multiLevelType w:val="multilevel"/>
    <w:tmpl w:val="6324D94A"/>
    <w:styleLink w:val="Estilo107"/>
    <w:lvl w:ilvl="0">
      <w:start w:val="1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38">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E6803BE"/>
    <w:multiLevelType w:val="multilevel"/>
    <w:tmpl w:val="136C91FA"/>
    <w:styleLink w:val="Estilo111"/>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41">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48630EB"/>
    <w:multiLevelType w:val="multilevel"/>
    <w:tmpl w:val="535C77EC"/>
    <w:styleLink w:val="Listaactual1"/>
    <w:lvl w:ilvl="0">
      <w:start w:val="1"/>
      <w:numFmt w:val="decimal"/>
      <w:lvlText w:val="%1."/>
      <w:lvlJc w:val="left"/>
      <w:pPr>
        <w:ind w:left="360" w:hanging="360"/>
      </w:pPr>
      <w:rPr>
        <w:rFonts w:hint="default"/>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4A72E8D"/>
    <w:multiLevelType w:val="multilevel"/>
    <w:tmpl w:val="0A42FCB6"/>
    <w:styleLink w:val="Estilo108"/>
    <w:lvl w:ilvl="0">
      <w:start w:val="20"/>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46">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353151E0"/>
    <w:multiLevelType w:val="multilevel"/>
    <w:tmpl w:val="6324D94A"/>
    <w:styleLink w:val="Estilo102"/>
    <w:lvl w:ilvl="0">
      <w:start w:val="14"/>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52">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54">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04731B1"/>
    <w:multiLevelType w:val="multilevel"/>
    <w:tmpl w:val="F4145356"/>
    <w:styleLink w:val="Estilo115"/>
    <w:lvl w:ilvl="0">
      <w:start w:val="2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65B41FE"/>
    <w:multiLevelType w:val="multilevel"/>
    <w:tmpl w:val="14F44418"/>
    <w:styleLink w:val="Estilo110"/>
    <w:lvl w:ilvl="0">
      <w:start w:val="23"/>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72">
    <w:nsid w:val="4E9E37AE"/>
    <w:multiLevelType w:val="multilevel"/>
    <w:tmpl w:val="8864FE74"/>
    <w:styleLink w:val="Estilo113"/>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02C7D6B"/>
    <w:multiLevelType w:val="multilevel"/>
    <w:tmpl w:val="0630B160"/>
    <w:styleLink w:val="Estilo106"/>
    <w:lvl w:ilvl="0">
      <w:start w:val="18"/>
      <w:numFmt w:val="decimal"/>
      <w:lvlText w:val="%1."/>
      <w:lvlJc w:val="left"/>
      <w:pPr>
        <w:ind w:left="360" w:hanging="360"/>
      </w:pPr>
      <w:rPr>
        <w:rFonts w:hint="default"/>
        <w:sz w:val="20"/>
        <w:szCs w:val="24"/>
      </w:rPr>
    </w:lvl>
    <w:lvl w:ilvl="1">
      <w:start w:val="1"/>
      <w:numFmt w:val="decimal"/>
      <w:lvlText w:val="%1.%2."/>
      <w:lvlJc w:val="left"/>
      <w:pPr>
        <w:ind w:left="705" w:hanging="705"/>
      </w:p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66D6AAC"/>
    <w:multiLevelType w:val="hybridMultilevel"/>
    <w:tmpl w:val="4B6CC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772753A"/>
    <w:multiLevelType w:val="multilevel"/>
    <w:tmpl w:val="14F44418"/>
    <w:styleLink w:val="Estilo109"/>
    <w:lvl w:ilvl="0">
      <w:start w:val="22"/>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C6B3B74"/>
    <w:multiLevelType w:val="multilevel"/>
    <w:tmpl w:val="6324D94A"/>
    <w:styleLink w:val="Estilo96"/>
    <w:lvl w:ilvl="0">
      <w:start w:val="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644B68BA"/>
    <w:multiLevelType w:val="multilevel"/>
    <w:tmpl w:val="1048ED5E"/>
    <w:lvl w:ilvl="0">
      <w:start w:val="1"/>
      <w:numFmt w:val="decimal"/>
      <w:lvlText w:val="%1."/>
      <w:lvlJc w:val="left"/>
      <w:pPr>
        <w:ind w:left="43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4668" w:hanging="1800"/>
      </w:pPr>
      <w:rPr>
        <w:rFonts w:hint="default"/>
      </w:rPr>
    </w:lvl>
  </w:abstractNum>
  <w:abstractNum w:abstractNumId="95">
    <w:nsid w:val="670B62A3"/>
    <w:multiLevelType w:val="multilevel"/>
    <w:tmpl w:val="6324D94A"/>
    <w:styleLink w:val="Estilo103"/>
    <w:lvl w:ilvl="0">
      <w:start w:val="15"/>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A2D0D74"/>
    <w:multiLevelType w:val="multilevel"/>
    <w:tmpl w:val="AE14C9CC"/>
    <w:lvl w:ilvl="0">
      <w:start w:val="6"/>
      <w:numFmt w:val="decimal"/>
      <w:lvlText w:val="%1."/>
      <w:lvlJc w:val="left"/>
      <w:pPr>
        <w:ind w:left="390"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8">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04">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71B16530"/>
    <w:multiLevelType w:val="hybridMultilevel"/>
    <w:tmpl w:val="7BC4785E"/>
    <w:lvl w:ilvl="0" w:tplc="080A0013">
      <w:start w:val="1"/>
      <w:numFmt w:val="upperRoman"/>
      <w:lvlText w:val="%1."/>
      <w:lvlJc w:val="righ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1">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12">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3">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76C65487"/>
    <w:multiLevelType w:val="multilevel"/>
    <w:tmpl w:val="6324D94A"/>
    <w:styleLink w:val="Estilo105"/>
    <w:lvl w:ilvl="0">
      <w:start w:val="1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7">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B286F11"/>
    <w:multiLevelType w:val="multilevel"/>
    <w:tmpl w:val="00B8FA78"/>
    <w:styleLink w:val="Estilo112"/>
    <w:lvl w:ilvl="0">
      <w:start w:val="2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21">
    <w:nsid w:val="7D905E8F"/>
    <w:multiLevelType w:val="multilevel"/>
    <w:tmpl w:val="6324D94A"/>
    <w:styleLink w:val="Estilo99"/>
    <w:lvl w:ilvl="0">
      <w:start w:val="11"/>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3"/>
  </w:num>
  <w:num w:numId="2">
    <w:abstractNumId w:val="51"/>
  </w:num>
  <w:num w:numId="3">
    <w:abstractNumId w:val="111"/>
  </w:num>
  <w:num w:numId="4">
    <w:abstractNumId w:val="40"/>
  </w:num>
  <w:num w:numId="5">
    <w:abstractNumId w:val="71"/>
  </w:num>
  <w:num w:numId="6">
    <w:abstractNumId w:val="110"/>
  </w:num>
  <w:num w:numId="7">
    <w:abstractNumId w:val="31"/>
  </w:num>
  <w:num w:numId="8">
    <w:abstractNumId w:val="16"/>
  </w:num>
  <w:num w:numId="9">
    <w:abstractNumId w:val="37"/>
  </w:num>
  <w:num w:numId="10">
    <w:abstractNumId w:val="120"/>
  </w:num>
  <w:num w:numId="11">
    <w:abstractNumId w:val="3"/>
  </w:num>
  <w:num w:numId="12">
    <w:abstractNumId w:val="55"/>
  </w:num>
  <w:num w:numId="13">
    <w:abstractNumId w:val="46"/>
  </w:num>
  <w:num w:numId="14">
    <w:abstractNumId w:val="49"/>
  </w:num>
  <w:num w:numId="15">
    <w:abstractNumId w:val="116"/>
  </w:num>
  <w:num w:numId="16">
    <w:abstractNumId w:val="25"/>
  </w:num>
  <w:num w:numId="17">
    <w:abstractNumId w:val="103"/>
  </w:num>
  <w:num w:numId="18">
    <w:abstractNumId w:val="112"/>
  </w:num>
  <w:num w:numId="19">
    <w:abstractNumId w:val="80"/>
  </w:num>
  <w:num w:numId="20">
    <w:abstractNumId w:val="67"/>
  </w:num>
  <w:num w:numId="21">
    <w:abstractNumId w:val="58"/>
  </w:num>
  <w:num w:numId="22">
    <w:abstractNumId w:val="115"/>
  </w:num>
  <w:num w:numId="23">
    <w:abstractNumId w:val="68"/>
  </w:num>
  <w:num w:numId="24">
    <w:abstractNumId w:val="10"/>
  </w:num>
  <w:num w:numId="25">
    <w:abstractNumId w:val="29"/>
  </w:num>
  <w:num w:numId="26">
    <w:abstractNumId w:val="82"/>
  </w:num>
  <w:num w:numId="27">
    <w:abstractNumId w:val="75"/>
  </w:num>
  <w:num w:numId="28">
    <w:abstractNumId w:val="107"/>
  </w:num>
  <w:num w:numId="29">
    <w:abstractNumId w:val="20"/>
  </w:num>
  <w:num w:numId="30">
    <w:abstractNumId w:val="50"/>
  </w:num>
  <w:num w:numId="31">
    <w:abstractNumId w:val="35"/>
  </w:num>
  <w:num w:numId="32">
    <w:abstractNumId w:val="98"/>
  </w:num>
  <w:num w:numId="33">
    <w:abstractNumId w:val="66"/>
  </w:num>
  <w:num w:numId="34">
    <w:abstractNumId w:val="62"/>
  </w:num>
  <w:num w:numId="35">
    <w:abstractNumId w:val="11"/>
  </w:num>
  <w:num w:numId="36">
    <w:abstractNumId w:val="23"/>
  </w:num>
  <w:num w:numId="37">
    <w:abstractNumId w:val="44"/>
  </w:num>
  <w:num w:numId="38">
    <w:abstractNumId w:val="92"/>
  </w:num>
  <w:num w:numId="39">
    <w:abstractNumId w:val="19"/>
  </w:num>
  <w:num w:numId="40">
    <w:abstractNumId w:val="90"/>
  </w:num>
  <w:num w:numId="41">
    <w:abstractNumId w:val="61"/>
  </w:num>
  <w:num w:numId="42">
    <w:abstractNumId w:val="4"/>
  </w:num>
  <w:num w:numId="43">
    <w:abstractNumId w:val="79"/>
  </w:num>
  <w:num w:numId="44">
    <w:abstractNumId w:val="0"/>
  </w:num>
  <w:num w:numId="45">
    <w:abstractNumId w:val="99"/>
  </w:num>
  <w:num w:numId="46">
    <w:abstractNumId w:val="1"/>
  </w:num>
  <w:num w:numId="47">
    <w:abstractNumId w:val="91"/>
  </w:num>
  <w:num w:numId="48">
    <w:abstractNumId w:val="70"/>
  </w:num>
  <w:num w:numId="49">
    <w:abstractNumId w:val="65"/>
  </w:num>
  <w:num w:numId="50">
    <w:abstractNumId w:val="26"/>
  </w:num>
  <w:num w:numId="51">
    <w:abstractNumId w:val="77"/>
  </w:num>
  <w:num w:numId="52">
    <w:abstractNumId w:val="27"/>
  </w:num>
  <w:num w:numId="53">
    <w:abstractNumId w:val="54"/>
  </w:num>
  <w:num w:numId="54">
    <w:abstractNumId w:val="89"/>
  </w:num>
  <w:num w:numId="55">
    <w:abstractNumId w:val="69"/>
  </w:num>
  <w:num w:numId="56">
    <w:abstractNumId w:val="42"/>
  </w:num>
  <w:num w:numId="57">
    <w:abstractNumId w:val="76"/>
  </w:num>
  <w:num w:numId="58">
    <w:abstractNumId w:val="88"/>
  </w:num>
  <w:num w:numId="59">
    <w:abstractNumId w:val="38"/>
  </w:num>
  <w:num w:numId="60">
    <w:abstractNumId w:val="48"/>
  </w:num>
  <w:num w:numId="61">
    <w:abstractNumId w:val="100"/>
  </w:num>
  <w:num w:numId="62">
    <w:abstractNumId w:val="12"/>
  </w:num>
  <w:num w:numId="63">
    <w:abstractNumId w:val="63"/>
  </w:num>
  <w:num w:numId="64">
    <w:abstractNumId w:val="18"/>
  </w:num>
  <w:num w:numId="65">
    <w:abstractNumId w:val="85"/>
  </w:num>
  <w:num w:numId="66">
    <w:abstractNumId w:val="104"/>
  </w:num>
  <w:num w:numId="67">
    <w:abstractNumId w:val="113"/>
  </w:num>
  <w:num w:numId="68">
    <w:abstractNumId w:val="73"/>
  </w:num>
  <w:num w:numId="69">
    <w:abstractNumId w:val="13"/>
  </w:num>
  <w:num w:numId="70">
    <w:abstractNumId w:val="56"/>
  </w:num>
  <w:num w:numId="71">
    <w:abstractNumId w:val="59"/>
  </w:num>
  <w:num w:numId="72">
    <w:abstractNumId w:val="78"/>
  </w:num>
  <w:num w:numId="73">
    <w:abstractNumId w:val="86"/>
  </w:num>
  <w:num w:numId="74">
    <w:abstractNumId w:val="122"/>
  </w:num>
  <w:num w:numId="75">
    <w:abstractNumId w:val="8"/>
  </w:num>
  <w:num w:numId="76">
    <w:abstractNumId w:val="14"/>
  </w:num>
  <w:num w:numId="77">
    <w:abstractNumId w:val="102"/>
  </w:num>
  <w:num w:numId="78">
    <w:abstractNumId w:val="64"/>
  </w:num>
  <w:num w:numId="79">
    <w:abstractNumId w:val="105"/>
  </w:num>
  <w:num w:numId="80">
    <w:abstractNumId w:val="96"/>
  </w:num>
  <w:num w:numId="81">
    <w:abstractNumId w:val="109"/>
  </w:num>
  <w:num w:numId="82">
    <w:abstractNumId w:val="101"/>
  </w:num>
  <w:num w:numId="83">
    <w:abstractNumId w:val="52"/>
  </w:num>
  <w:num w:numId="84">
    <w:abstractNumId w:val="106"/>
  </w:num>
  <w:num w:numId="85">
    <w:abstractNumId w:val="5"/>
  </w:num>
  <w:num w:numId="86">
    <w:abstractNumId w:val="17"/>
  </w:num>
  <w:num w:numId="87">
    <w:abstractNumId w:val="117"/>
  </w:num>
  <w:num w:numId="88">
    <w:abstractNumId w:val="15"/>
  </w:num>
  <w:num w:numId="89">
    <w:abstractNumId w:val="28"/>
  </w:num>
  <w:num w:numId="90">
    <w:abstractNumId w:val="36"/>
  </w:num>
  <w:num w:numId="91">
    <w:abstractNumId w:val="41"/>
  </w:num>
  <w:num w:numId="92">
    <w:abstractNumId w:val="119"/>
  </w:num>
  <w:num w:numId="93">
    <w:abstractNumId w:val="93"/>
  </w:num>
  <w:num w:numId="94">
    <w:abstractNumId w:val="84"/>
  </w:num>
  <w:num w:numId="95">
    <w:abstractNumId w:val="7"/>
  </w:num>
  <w:num w:numId="96">
    <w:abstractNumId w:val="87"/>
  </w:num>
  <w:num w:numId="97">
    <w:abstractNumId w:val="9"/>
  </w:num>
  <w:num w:numId="98">
    <w:abstractNumId w:val="22"/>
  </w:num>
  <w:num w:numId="99">
    <w:abstractNumId w:val="121"/>
  </w:num>
  <w:num w:numId="100">
    <w:abstractNumId w:val="32"/>
  </w:num>
  <w:num w:numId="101">
    <w:abstractNumId w:val="21"/>
  </w:num>
  <w:num w:numId="102">
    <w:abstractNumId w:val="47"/>
  </w:num>
  <w:num w:numId="103">
    <w:abstractNumId w:val="95"/>
  </w:num>
  <w:num w:numId="104">
    <w:abstractNumId w:val="30"/>
  </w:num>
  <w:num w:numId="105">
    <w:abstractNumId w:val="114"/>
  </w:num>
  <w:num w:numId="106">
    <w:abstractNumId w:val="74"/>
  </w:num>
  <w:num w:numId="107">
    <w:abstractNumId w:val="34"/>
  </w:num>
  <w:num w:numId="108">
    <w:abstractNumId w:val="45"/>
  </w:num>
  <w:num w:numId="109">
    <w:abstractNumId w:val="83"/>
  </w:num>
  <w:num w:numId="110">
    <w:abstractNumId w:val="60"/>
  </w:num>
  <w:num w:numId="111">
    <w:abstractNumId w:val="39"/>
  </w:num>
  <w:num w:numId="112">
    <w:abstractNumId w:val="118"/>
  </w:num>
  <w:num w:numId="113">
    <w:abstractNumId w:val="72"/>
  </w:num>
  <w:num w:numId="114">
    <w:abstractNumId w:val="33"/>
  </w:num>
  <w:num w:numId="115">
    <w:abstractNumId w:val="57"/>
  </w:num>
  <w:num w:numId="116">
    <w:abstractNumId w:val="43"/>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8"/>
  </w:num>
  <w:num w:numId="120">
    <w:abstractNumId w:val="94"/>
  </w:num>
  <w:num w:numId="121">
    <w:abstractNumId w:val="24"/>
  </w:num>
  <w:num w:numId="122">
    <w:abstractNumId w:val="81"/>
  </w:num>
  <w:num w:numId="123">
    <w:abstractNumId w:val="9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531235A-BA64-4035-873E-33D49FA1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pPr>
      <w:keepNext/>
      <w:keepLines/>
      <w:spacing w:before="240" w:after="0"/>
      <w:outlineLvl w:val="0"/>
    </w:pPr>
    <w:rPr>
      <w:rFonts w:ascii="Calibri" w:eastAsiaTheme="majorEastAsia" w:hAnsi="Calibri" w:cstheme="majorBidi"/>
      <w:b/>
      <w:sz w:val="28"/>
      <w:szCs w:val="32"/>
    </w:rPr>
  </w:style>
  <w:style w:type="paragraph" w:styleId="Ttulo2">
    <w:name w:val="heading 2"/>
    <w:basedOn w:val="Prrafodelista"/>
    <w:next w:val="Normal"/>
    <w:link w:val="Ttulo2Car"/>
    <w:uiPriority w:val="1"/>
    <w:unhideWhenUsed/>
    <w:qFormat/>
    <w:pPr>
      <w:ind w:left="0"/>
      <w:outlineLvl w:val="1"/>
    </w:pPr>
    <w:rPr>
      <w:rFonts w:ascii="Calibri" w:hAnsi="Calibri"/>
      <w:b/>
      <w:sz w:val="24"/>
      <w:szCs w:val="24"/>
    </w:rPr>
  </w:style>
  <w:style w:type="paragraph" w:styleId="Ttulo3">
    <w:name w:val="heading 3"/>
    <w:basedOn w:val="Normal"/>
    <w:next w:val="Normal"/>
    <w:link w:val="Ttulo3Car"/>
    <w:uiPriority w:val="9"/>
    <w:unhideWhenUsed/>
    <w:qFormat/>
    <w:pPr>
      <w:keepNext/>
      <w:keepLines/>
      <w:spacing w:before="40" w:after="0"/>
      <w:outlineLvl w:val="2"/>
    </w:pPr>
    <w:rPr>
      <w:rFonts w:ascii="Calibri" w:eastAsiaTheme="majorEastAsia" w:hAnsi="Calibri" w:cstheme="majorBidi"/>
      <w:b/>
      <w:szCs w:val="24"/>
    </w:rPr>
  </w:style>
  <w:style w:type="paragraph" w:styleId="Ttulo4">
    <w:name w:val="heading 4"/>
    <w:basedOn w:val="Normal"/>
    <w:next w:val="Normal"/>
    <w:link w:val="Ttulo4Car"/>
    <w:uiPriority w:val="9"/>
    <w:unhideWhenUsed/>
    <w:qFormat/>
    <w:pPr>
      <w:keepNext/>
      <w:keepLines/>
      <w:spacing w:before="200" w:after="120" w:line="240" w:lineRule="auto"/>
      <w:jc w:val="both"/>
      <w:outlineLvl w:val="3"/>
    </w:pPr>
    <w:rPr>
      <w:rFonts w:asciiTheme="majorHAnsi" w:eastAsiaTheme="majorEastAsia" w:hAnsiTheme="majorHAnsi" w:cstheme="majorBidi"/>
      <w:b/>
      <w:bCs/>
      <w:i/>
      <w:iCs/>
      <w:color w:val="ED7D31" w:themeColor="accent2"/>
      <w:lang w:val="es-ES" w:eastAsia="zh-CN"/>
    </w:rPr>
  </w:style>
  <w:style w:type="paragraph" w:styleId="Ttulo5">
    <w:name w:val="heading 5"/>
    <w:basedOn w:val="Normal"/>
    <w:next w:val="Normal"/>
    <w:link w:val="Ttulo5Car"/>
    <w:qFormat/>
    <w:pPr>
      <w:keepNext/>
      <w:overflowPunct w:val="0"/>
      <w:autoSpaceDE w:val="0"/>
      <w:autoSpaceDN w:val="0"/>
      <w:adjustRightInd w:val="0"/>
      <w:spacing w:after="0" w:line="240" w:lineRule="auto"/>
      <w:jc w:val="center"/>
      <w:textAlignment w:val="baseline"/>
      <w:outlineLvl w:val="4"/>
    </w:pPr>
    <w:rPr>
      <w:rFonts w:ascii="Tahoma" w:eastAsia="Times New Roman" w:hAnsi="Tahoma" w:cs="Times New Roman"/>
      <w:b/>
      <w:sz w:val="18"/>
      <w:szCs w:val="20"/>
      <w:lang w:val="es-MX" w:eastAsia="es-ES"/>
    </w:rPr>
  </w:style>
  <w:style w:type="paragraph" w:styleId="Ttulo6">
    <w:name w:val="heading 6"/>
    <w:basedOn w:val="Normal"/>
    <w:next w:val="Normal"/>
    <w:link w:val="Ttulo6Car"/>
    <w:qFormat/>
    <w:pPr>
      <w:keepNext/>
      <w:suppressAutoHyphens/>
      <w:overflowPunct w:val="0"/>
      <w:autoSpaceDE w:val="0"/>
      <w:autoSpaceDN w:val="0"/>
      <w:adjustRightInd w:val="0"/>
      <w:spacing w:after="0" w:line="240" w:lineRule="auto"/>
      <w:jc w:val="both"/>
      <w:textAlignment w:val="baseline"/>
      <w:outlineLvl w:val="5"/>
    </w:pPr>
    <w:rPr>
      <w:rFonts w:ascii="Tahoma" w:eastAsia="Times New Roman" w:hAnsi="Tahoma" w:cs="Times New Roman"/>
      <w:b/>
      <w:spacing w:val="-2"/>
      <w:szCs w:val="20"/>
      <w:lang w:val="es-MX" w:eastAsia="es-ES"/>
    </w:rPr>
  </w:style>
  <w:style w:type="paragraph" w:styleId="Ttulo7">
    <w:name w:val="heading 7"/>
    <w:basedOn w:val="Normal"/>
    <w:next w:val="Normal"/>
    <w:link w:val="Ttulo7Car"/>
    <w:uiPriority w:val="99"/>
    <w:qFormat/>
    <w:pPr>
      <w:keepNext/>
      <w:suppressAutoHyphens/>
      <w:overflowPunct w:val="0"/>
      <w:autoSpaceDE w:val="0"/>
      <w:autoSpaceDN w:val="0"/>
      <w:adjustRightInd w:val="0"/>
      <w:spacing w:after="0" w:line="240" w:lineRule="auto"/>
      <w:ind w:left="227" w:right="135" w:hanging="227"/>
      <w:jc w:val="both"/>
      <w:textAlignment w:val="baseline"/>
      <w:outlineLvl w:val="6"/>
    </w:pPr>
    <w:rPr>
      <w:rFonts w:ascii="Arial" w:eastAsia="Times New Roman" w:hAnsi="Arial" w:cs="Times New Roman"/>
      <w:b/>
      <w:spacing w:val="-2"/>
      <w:szCs w:val="20"/>
      <w:lang w:eastAsia="es-ES"/>
    </w:rPr>
  </w:style>
  <w:style w:type="paragraph" w:styleId="Ttulo8">
    <w:name w:val="heading 8"/>
    <w:basedOn w:val="Normal"/>
    <w:next w:val="Normal"/>
    <w:link w:val="Ttulo8Car"/>
    <w:uiPriority w:val="99"/>
    <w:qFormat/>
    <w:pPr>
      <w:keepNext/>
      <w:overflowPunct w:val="0"/>
      <w:autoSpaceDE w:val="0"/>
      <w:autoSpaceDN w:val="0"/>
      <w:adjustRightInd w:val="0"/>
      <w:spacing w:after="0" w:line="240" w:lineRule="auto"/>
      <w:ind w:left="-1276"/>
      <w:jc w:val="both"/>
      <w:textAlignment w:val="baseline"/>
      <w:outlineLvl w:val="7"/>
    </w:pPr>
    <w:rPr>
      <w:rFonts w:ascii="Arial" w:eastAsia="Times New Roman" w:hAnsi="Arial" w:cs="Times New Roman"/>
      <w:sz w:val="24"/>
      <w:szCs w:val="20"/>
      <w:lang w:val="es-MX" w:eastAsia="es-ES"/>
    </w:rPr>
  </w:style>
  <w:style w:type="paragraph" w:styleId="Ttulo9">
    <w:name w:val="heading 9"/>
    <w:basedOn w:val="Normal"/>
    <w:next w:val="Normal"/>
    <w:link w:val="Ttulo9C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276"/>
      <w:textAlignment w:val="baseline"/>
      <w:outlineLvl w:val="8"/>
    </w:pPr>
    <w:rPr>
      <w:rFonts w:ascii="Arial" w:eastAsia="Times New Roman" w:hAnsi="Arial" w:cs="Times New Roman"/>
      <w:b/>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Calibri" w:eastAsiaTheme="minorEastAsia" w:hAnsi="Calibri"/>
      <w:b/>
      <w:sz w:val="24"/>
      <w:szCs w:val="24"/>
      <w:lang w:eastAsia="zh-CN"/>
    </w:rPr>
  </w:style>
  <w:style w:type="table" w:styleId="Tablaconcuadrcula">
    <w:name w:val="Table Grid"/>
    <w:basedOn w:val="Tablanormal"/>
    <w:uiPriority w:val="59"/>
    <w:pPr>
      <w:spacing w:after="0" w:line="240" w:lineRule="auto"/>
    </w:pPr>
    <w:rPr>
      <w:rFonts w:eastAsiaTheme="minorEastAsia"/>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DH1"/>
    <w:basedOn w:val="Normal"/>
    <w:link w:val="PrrafodelistaCar"/>
    <w:uiPriority w:val="34"/>
    <w:qFormat/>
    <w:pPr>
      <w:spacing w:before="120" w:after="120" w:line="240" w:lineRule="auto"/>
      <w:ind w:left="720"/>
      <w:contextualSpacing/>
      <w:jc w:val="both"/>
    </w:pPr>
    <w:rPr>
      <w:rFonts w:ascii="Arial" w:eastAsiaTheme="minorEastAsia" w:hAnsi="Arial"/>
      <w:lang w:val="es-MX" w:eastAsia="zh-CN"/>
    </w:rPr>
  </w:style>
  <w:style w:type="paragraph" w:styleId="Textonotapie">
    <w:name w:val="footnote text"/>
    <w:aliases w:val="fn, Car Car Car Car Car Car Car Car Car Car, Car Car Car Car Car Car Car Car Car Car Car, Car Car Car Car Car Car Car Car Car Car Car Car Car,Car Car Car Car Car Car Car Car Car Car,Car Car Car Car Car Car Car Car Car Car Car"/>
    <w:basedOn w:val="Normal"/>
    <w:link w:val="TextonotapieCar"/>
    <w:uiPriority w:val="99"/>
    <w:unhideWhenUsed/>
    <w:pPr>
      <w:spacing w:before="120" w:after="120" w:line="240" w:lineRule="auto"/>
      <w:jc w:val="both"/>
    </w:pPr>
    <w:rPr>
      <w:rFonts w:ascii="Arial" w:eastAsiaTheme="minorEastAsia" w:hAnsi="Arial"/>
      <w:sz w:val="18"/>
      <w:szCs w:val="20"/>
      <w:lang w:val="es-MX" w:eastAsia="zh-CN"/>
    </w:rPr>
  </w:style>
  <w:style w:type="character" w:customStyle="1" w:styleId="TextonotapieCar">
    <w:name w:val="Texto nota pie Car"/>
    <w:aliases w:val="fn Car, Car Car Car Car Car Car Car Car Car Car Car1, Car Car Car Car Car Car Car Car Car Car Car Car, Car Car Car Car Car Car Car Car Car Car Car Car Car Car,Car Car Car Car Car Car Car Car Car Car Car1"/>
    <w:basedOn w:val="Fuentedeprrafopredeter"/>
    <w:link w:val="Textonotapie"/>
    <w:uiPriority w:val="99"/>
    <w:rPr>
      <w:rFonts w:ascii="Arial" w:eastAsiaTheme="minorEastAsia" w:hAnsi="Arial"/>
      <w:sz w:val="18"/>
      <w:szCs w:val="20"/>
      <w:lang w:eastAsia="zh-CN"/>
    </w:rPr>
  </w:style>
  <w:style w:type="character" w:styleId="Refdenotaalpie">
    <w:name w:val="footnote reference"/>
    <w:basedOn w:val="Fuentedeprrafopredeter"/>
    <w:uiPriority w:val="99"/>
    <w:unhideWhenUsed/>
    <w:rPr>
      <w:vertAlign w:val="superscript"/>
    </w:rPr>
  </w:style>
  <w:style w:type="table" w:styleId="Tabladelista3-nfasis3">
    <w:name w:val="List Table 3 Accent 3"/>
    <w:basedOn w:val="Tablanormal"/>
    <w:uiPriority w:val="48"/>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cabezado">
    <w:name w:val="header"/>
    <w:basedOn w:val="Normal"/>
    <w:link w:val="EncabezadoCar"/>
    <w:uiPriority w:val="99"/>
    <w:unhideWhenUsed/>
    <w:pPr>
      <w:tabs>
        <w:tab w:val="center" w:pos="4680"/>
        <w:tab w:val="right" w:pos="9360"/>
      </w:tabs>
      <w:spacing w:before="120" w:after="120" w:line="240" w:lineRule="auto"/>
      <w:jc w:val="both"/>
    </w:pPr>
    <w:rPr>
      <w:rFonts w:ascii="Arial" w:eastAsiaTheme="minorEastAsia" w:hAnsi="Arial"/>
      <w:lang w:val="es-MX" w:eastAsia="zh-CN"/>
    </w:rPr>
  </w:style>
  <w:style w:type="character" w:customStyle="1" w:styleId="EncabezadoCar">
    <w:name w:val="Encabezado Car"/>
    <w:basedOn w:val="Fuentedeprrafopredeter"/>
    <w:link w:val="Encabezado"/>
    <w:uiPriority w:val="99"/>
    <w:rPr>
      <w:rFonts w:ascii="Arial" w:eastAsiaTheme="minorEastAsia" w:hAnsi="Arial"/>
      <w:lang w:eastAsia="zh-CN"/>
    </w:rPr>
  </w:style>
  <w:style w:type="character" w:styleId="Hipervnculo">
    <w:name w:val="Hyperlink"/>
    <w:basedOn w:val="Fuentedeprrafopredeter"/>
    <w:uiPriority w:val="99"/>
    <w:unhideWhenUsed/>
    <w:rPr>
      <w:color w:val="0563C1" w:themeColor="hyperlink"/>
      <w:u w:val="single"/>
    </w:rPr>
  </w:style>
  <w:style w:type="table" w:customStyle="1" w:styleId="Tablaconcuadrcula2">
    <w:name w:val="Tabla con cuadrícula2"/>
    <w:basedOn w:val="Tablanormal"/>
    <w:next w:val="Tablaconcuadrcula"/>
    <w:uiPriority w:val="39"/>
    <w:pPr>
      <w:spacing w:after="0" w:line="240" w:lineRule="auto"/>
    </w:pPr>
    <w:rPr>
      <w:rFonts w:eastAsia="SimSun"/>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31">
    <w:name w:val="Tabla de lista 3 - Énfasis 31"/>
    <w:basedOn w:val="Tablanormal"/>
    <w:next w:val="Tabladelista3-nfasis3"/>
    <w:uiPriority w:val="48"/>
    <w:pPr>
      <w:spacing w:after="0" w:line="240" w:lineRule="auto"/>
    </w:pPr>
    <w:tblPr>
      <w:tblStyleRowBandSize w:val="1"/>
      <w:tblStyleColBandSize w:val="1"/>
      <w:tblInd w:w="0" w:type="dxa"/>
      <w:tblBorders>
        <w:top w:val="single" w:sz="4" w:space="0" w:color="1B587C"/>
        <w:left w:val="single" w:sz="4" w:space="0" w:color="1B587C"/>
        <w:bottom w:val="single" w:sz="4" w:space="0" w:color="1B587C"/>
        <w:right w:val="single" w:sz="4" w:space="0" w:color="1B587C"/>
      </w:tblBorders>
      <w:tblCellMar>
        <w:top w:w="0" w:type="dxa"/>
        <w:left w:w="108" w:type="dxa"/>
        <w:bottom w:w="0" w:type="dxa"/>
        <w:right w:w="108" w:type="dxa"/>
      </w:tblCellMar>
    </w:tblPr>
    <w:tblStylePr w:type="firstRow">
      <w:rPr>
        <w:b/>
        <w:bCs/>
        <w:color w:val="FFFFFF"/>
      </w:rPr>
      <w:tblPr/>
      <w:tcPr>
        <w:shd w:val="clear" w:color="auto" w:fill="1B587C"/>
      </w:tcPr>
    </w:tblStylePr>
    <w:tblStylePr w:type="lastRow">
      <w:rPr>
        <w:b/>
        <w:bCs/>
      </w:rPr>
      <w:tblPr/>
      <w:tcPr>
        <w:tcBorders>
          <w:top w:val="double" w:sz="4" w:space="0" w:color="1B587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587C"/>
          <w:right w:val="single" w:sz="4" w:space="0" w:color="1B587C"/>
        </w:tcBorders>
      </w:tcPr>
    </w:tblStylePr>
    <w:tblStylePr w:type="band1Horz">
      <w:tblPr/>
      <w:tcPr>
        <w:tcBorders>
          <w:top w:val="single" w:sz="4" w:space="0" w:color="1B587C"/>
          <w:bottom w:val="single" w:sz="4" w:space="0" w:color="1B587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left w:val="nil"/>
        </w:tcBorders>
      </w:tcPr>
    </w:tblStylePr>
    <w:tblStylePr w:type="swCell">
      <w:tblPr/>
      <w:tcPr>
        <w:tcBorders>
          <w:top w:val="double" w:sz="4" w:space="0" w:color="1B587C"/>
          <w:right w:val="nil"/>
        </w:tcBorders>
      </w:tcPr>
    </w:tblStyle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ES_tradnl"/>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lang w:val="es-ES_tradnl"/>
    </w:rPr>
  </w:style>
  <w:style w:type="character" w:customStyle="1" w:styleId="Ttulo1Car">
    <w:name w:val="Título 1 Car"/>
    <w:basedOn w:val="Fuentedeprrafopredeter"/>
    <w:link w:val="Ttulo1"/>
    <w:uiPriority w:val="1"/>
    <w:rPr>
      <w:rFonts w:ascii="Calibri" w:eastAsiaTheme="majorEastAsia" w:hAnsi="Calibri" w:cstheme="majorBidi"/>
      <w:b/>
      <w:sz w:val="28"/>
      <w:szCs w:val="32"/>
      <w:lang w:val="es-ES_tradnl"/>
    </w:rPr>
  </w:style>
  <w:style w:type="character" w:customStyle="1" w:styleId="Ttulo3Car">
    <w:name w:val="Título 3 Car"/>
    <w:basedOn w:val="Fuentedeprrafopredeter"/>
    <w:link w:val="Ttulo3"/>
    <w:uiPriority w:val="9"/>
    <w:rPr>
      <w:rFonts w:ascii="Calibri" w:eastAsiaTheme="majorEastAsia" w:hAnsi="Calibri" w:cstheme="majorBidi"/>
      <w:b/>
      <w:szCs w:val="24"/>
      <w:lang w:val="es-ES_tradnl"/>
    </w:rPr>
  </w:style>
  <w:style w:type="paragraph" w:styleId="TtulodeTDC">
    <w:name w:val="TOC Heading"/>
    <w:basedOn w:val="Ttulo1"/>
    <w:next w:val="Normal"/>
    <w:uiPriority w:val="39"/>
    <w:unhideWhenUsed/>
    <w:qFormat/>
    <w:pPr>
      <w:outlineLvl w:val="9"/>
    </w:pPr>
    <w:rPr>
      <w:rFonts w:asciiTheme="majorHAnsi" w:hAnsiTheme="majorHAnsi"/>
      <w:b w:val="0"/>
      <w:color w:val="2E74B5" w:themeColor="accent1" w:themeShade="BF"/>
      <w:sz w:val="32"/>
      <w:lang w:val="es-MX" w:eastAsia="es-MX"/>
    </w:rPr>
  </w:style>
  <w:style w:type="paragraph" w:styleId="TDC1">
    <w:name w:val="toc 1"/>
    <w:basedOn w:val="Normal"/>
    <w:next w:val="Normal"/>
    <w:autoRedefine/>
    <w:uiPriority w:val="39"/>
    <w:unhideWhenUsed/>
    <w:qFormat/>
    <w:pPr>
      <w:tabs>
        <w:tab w:val="left" w:pos="-284"/>
        <w:tab w:val="right" w:leader="dot" w:pos="10054"/>
      </w:tabs>
      <w:spacing w:after="100"/>
      <w:ind w:left="-567" w:right="-142"/>
    </w:pPr>
  </w:style>
  <w:style w:type="paragraph" w:styleId="TDC2">
    <w:name w:val="toc 2"/>
    <w:basedOn w:val="Normal"/>
    <w:next w:val="Normal"/>
    <w:autoRedefine/>
    <w:uiPriority w:val="39"/>
    <w:unhideWhenUsed/>
    <w:qFormat/>
    <w:pPr>
      <w:tabs>
        <w:tab w:val="left" w:pos="142"/>
        <w:tab w:val="right" w:leader="dot" w:pos="10054"/>
      </w:tabs>
      <w:spacing w:after="100" w:line="240" w:lineRule="auto"/>
      <w:ind w:left="-426" w:right="-286"/>
    </w:pPr>
  </w:style>
  <w:style w:type="paragraph" w:styleId="TDC3">
    <w:name w:val="toc 3"/>
    <w:basedOn w:val="Normal"/>
    <w:next w:val="Normal"/>
    <w:autoRedefine/>
    <w:uiPriority w:val="39"/>
    <w:unhideWhenUsed/>
    <w:qFormat/>
    <w:pPr>
      <w:tabs>
        <w:tab w:val="left" w:pos="567"/>
        <w:tab w:val="right" w:leader="dot" w:pos="10054"/>
      </w:tabs>
      <w:spacing w:after="100" w:line="240" w:lineRule="auto"/>
      <w:ind w:left="-142" w:right="-1"/>
    </w:p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ED7D31" w:themeColor="accent2"/>
      <w:lang w:val="es-ES" w:eastAsia="zh-CN"/>
    </w:rPr>
  </w:style>
  <w:style w:type="character" w:customStyle="1" w:styleId="Ttulo5Car">
    <w:name w:val="Título 5 Car"/>
    <w:basedOn w:val="Fuentedeprrafopredeter"/>
    <w:link w:val="Ttulo5"/>
    <w:rPr>
      <w:rFonts w:ascii="Tahoma" w:eastAsia="Times New Roman" w:hAnsi="Tahoma" w:cs="Times New Roman"/>
      <w:b/>
      <w:sz w:val="18"/>
      <w:szCs w:val="20"/>
      <w:lang w:eastAsia="es-ES"/>
    </w:rPr>
  </w:style>
  <w:style w:type="character" w:customStyle="1" w:styleId="Ttulo6Car">
    <w:name w:val="Título 6 Car"/>
    <w:basedOn w:val="Fuentedeprrafopredeter"/>
    <w:link w:val="Ttulo6"/>
    <w:rPr>
      <w:rFonts w:ascii="Tahoma" w:eastAsia="Times New Roman" w:hAnsi="Tahoma" w:cs="Times New Roman"/>
      <w:b/>
      <w:spacing w:val="-2"/>
      <w:szCs w:val="20"/>
      <w:lang w:eastAsia="es-ES"/>
    </w:rPr>
  </w:style>
  <w:style w:type="character" w:customStyle="1" w:styleId="Ttulo7Car">
    <w:name w:val="Título 7 Car"/>
    <w:basedOn w:val="Fuentedeprrafopredeter"/>
    <w:link w:val="Ttulo7"/>
    <w:uiPriority w:val="99"/>
    <w:rPr>
      <w:rFonts w:ascii="Arial" w:eastAsia="Times New Roman" w:hAnsi="Arial" w:cs="Times New Roman"/>
      <w:b/>
      <w:spacing w:val="-2"/>
      <w:szCs w:val="20"/>
      <w:lang w:val="es-ES_tradnl" w:eastAsia="es-ES"/>
    </w:rPr>
  </w:style>
  <w:style w:type="character" w:customStyle="1" w:styleId="Ttulo8Car">
    <w:name w:val="Título 8 Car"/>
    <w:basedOn w:val="Fuentedeprrafopredeter"/>
    <w:link w:val="Ttulo8"/>
    <w:uiPriority w:val="99"/>
    <w:rPr>
      <w:rFonts w:ascii="Arial" w:eastAsia="Times New Roman" w:hAnsi="Arial" w:cs="Times New Roman"/>
      <w:sz w:val="24"/>
      <w:szCs w:val="20"/>
      <w:lang w:eastAsia="es-ES"/>
    </w:rPr>
  </w:style>
  <w:style w:type="character" w:customStyle="1" w:styleId="Ttulo9Car">
    <w:name w:val="Título 9 Car"/>
    <w:basedOn w:val="Fuentedeprrafopredeter"/>
    <w:link w:val="Ttulo9"/>
    <w:uiPriority w:val="99"/>
    <w:rPr>
      <w:rFonts w:ascii="Arial" w:eastAsia="Times New Roman" w:hAnsi="Arial" w:cs="Times New Roman"/>
      <w:b/>
      <w:szCs w:val="20"/>
      <w:lang w:eastAsia="es-ES"/>
    </w:rPr>
  </w:style>
  <w:style w:type="character" w:styleId="Textodelmarcadordeposicin">
    <w:name w:val="Placeholder Text"/>
    <w:basedOn w:val="Fuentedeprrafopredeter"/>
    <w:uiPriority w:val="99"/>
    <w:semiHidden/>
    <w:rPr>
      <w:color w:val="808080"/>
    </w:rPr>
  </w:style>
  <w:style w:type="paragraph" w:styleId="Puesto">
    <w:name w:val="Title"/>
    <w:basedOn w:val="Normal"/>
    <w:next w:val="Normal"/>
    <w:link w:val="PuestoCar"/>
    <w:uiPriority w:val="1"/>
    <w:qFormat/>
    <w:pPr>
      <w:spacing w:before="120" w:after="300" w:line="240" w:lineRule="auto"/>
      <w:contextualSpacing/>
      <w:jc w:val="both"/>
    </w:pPr>
    <w:rPr>
      <w:rFonts w:ascii="Arial" w:eastAsiaTheme="majorEastAsia" w:hAnsi="Arial" w:cstheme="majorBidi"/>
      <w:color w:val="C45911" w:themeColor="accent2" w:themeShade="BF"/>
      <w:spacing w:val="5"/>
      <w:kern w:val="28"/>
      <w:sz w:val="144"/>
      <w:szCs w:val="52"/>
      <w:lang w:val="es-ES" w:eastAsia="zh-CN"/>
    </w:rPr>
  </w:style>
  <w:style w:type="character" w:customStyle="1" w:styleId="PuestoCar">
    <w:name w:val="Puesto Car"/>
    <w:basedOn w:val="Fuentedeprrafopredeter"/>
    <w:link w:val="Puesto"/>
    <w:uiPriority w:val="1"/>
    <w:rPr>
      <w:rFonts w:ascii="Arial" w:eastAsiaTheme="majorEastAsia" w:hAnsi="Arial" w:cstheme="majorBidi"/>
      <w:color w:val="C45911" w:themeColor="accent2" w:themeShade="BF"/>
      <w:spacing w:val="5"/>
      <w:kern w:val="28"/>
      <w:sz w:val="144"/>
      <w:szCs w:val="52"/>
      <w:lang w:val="es-ES" w:eastAsia="zh-CN"/>
    </w:rPr>
  </w:style>
  <w:style w:type="paragraph" w:styleId="Subttulo">
    <w:name w:val="Subtitle"/>
    <w:basedOn w:val="Normal"/>
    <w:next w:val="Normal"/>
    <w:link w:val="SubttuloCar"/>
    <w:uiPriority w:val="11"/>
    <w:qFormat/>
    <w:pPr>
      <w:numPr>
        <w:ilvl w:val="1"/>
      </w:numPr>
      <w:spacing w:before="120" w:after="120" w:line="240" w:lineRule="auto"/>
      <w:jc w:val="both"/>
    </w:pPr>
    <w:rPr>
      <w:rFonts w:asciiTheme="majorHAnsi" w:eastAsiaTheme="majorEastAsia" w:hAnsiTheme="majorHAnsi" w:cstheme="majorBidi"/>
      <w:i/>
      <w:iCs/>
      <w:color w:val="ED7D31" w:themeColor="accent2"/>
      <w:spacing w:val="15"/>
      <w:lang w:val="es-ES" w:eastAsia="zh-CN"/>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ED7D31" w:themeColor="accent2"/>
      <w:spacing w:val="15"/>
      <w:lang w:val="es-ES" w:eastAsia="zh-CN"/>
    </w:rPr>
  </w:style>
  <w:style w:type="character" w:styleId="nfasisintenso">
    <w:name w:val="Intense Emphasis"/>
    <w:basedOn w:val="Fuentedeprrafopredeter"/>
    <w:uiPriority w:val="21"/>
    <w:qFormat/>
    <w:rPr>
      <w:b/>
      <w:bCs/>
      <w:i/>
      <w:iCs/>
      <w:color w:val="A5A5A5" w:themeColor="accent3"/>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before="120" w:after="120" w:line="240" w:lineRule="auto"/>
    </w:pPr>
    <w:rPr>
      <w:rFonts w:ascii="Arial" w:eastAsia="Arial" w:hAnsi="Arial" w:cs="Arial"/>
      <w:lang w:val="es-ES" w:eastAsia="es-MX" w:bidi="es-MX"/>
    </w:rPr>
  </w:style>
  <w:style w:type="table" w:customStyle="1" w:styleId="TableNormal1">
    <w:name w:val="Table Normal1"/>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tulodellibro">
    <w:name w:val="Book Title"/>
    <w:uiPriority w:val="33"/>
    <w:qFormat/>
    <w:rPr>
      <w:rFonts w:ascii="Arial Rounded MT Bold" w:hAnsi="Arial Rounded MT Bold"/>
      <w:sz w:val="44"/>
      <w:szCs w:val="44"/>
    </w:r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pPr>
      <w:spacing w:before="120" w:after="120" w:line="240" w:lineRule="auto"/>
      <w:jc w:val="both"/>
    </w:pPr>
    <w:rPr>
      <w:rFonts w:ascii="Arial" w:eastAsiaTheme="minorEastAsia" w:hAnsi="Arial"/>
      <w:sz w:val="20"/>
      <w:szCs w:val="20"/>
      <w:lang w:val="es-ES" w:eastAsia="zh-CN"/>
    </w:rPr>
  </w:style>
  <w:style w:type="character" w:customStyle="1" w:styleId="TextocomentarioCar">
    <w:name w:val="Texto comentario Car"/>
    <w:basedOn w:val="Fuentedeprrafopredeter"/>
    <w:link w:val="Textocomentario"/>
    <w:uiPriority w:val="99"/>
    <w:rPr>
      <w:rFonts w:ascii="Arial" w:eastAsiaTheme="minorEastAsia" w:hAnsi="Arial"/>
      <w:sz w:val="20"/>
      <w:szCs w:val="20"/>
      <w:lang w:val="es-ES" w:eastAsia="zh-CN"/>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basedOn w:val="TextocomentarioCar"/>
    <w:link w:val="Asuntodelcomentario"/>
    <w:uiPriority w:val="99"/>
    <w:rPr>
      <w:rFonts w:ascii="Arial" w:eastAsiaTheme="minorEastAsia" w:hAnsi="Arial"/>
      <w:b/>
      <w:bCs/>
      <w:sz w:val="20"/>
      <w:szCs w:val="20"/>
      <w:lang w:val="es-ES" w:eastAsia="zh-CN"/>
    </w:rPr>
  </w:style>
  <w:style w:type="character" w:styleId="Hipervnculovisitado">
    <w:name w:val="FollowedHyperlink"/>
    <w:basedOn w:val="Fuentedeprrafopredeter"/>
    <w:uiPriority w:val="99"/>
    <w:unhideWhenUsed/>
    <w:rPr>
      <w:color w:val="954F72" w:themeColor="followedHyperlink"/>
      <w:u w:val="single"/>
    </w:rPr>
  </w:style>
  <w:style w:type="paragraph" w:styleId="Descripcin">
    <w:name w:val="caption"/>
    <w:basedOn w:val="Normal"/>
    <w:next w:val="Normal"/>
    <w:uiPriority w:val="35"/>
    <w:unhideWhenUsed/>
    <w:qFormat/>
    <w:pPr>
      <w:spacing w:after="200" w:line="240" w:lineRule="auto"/>
      <w:jc w:val="both"/>
    </w:pPr>
    <w:rPr>
      <w:rFonts w:ascii="Arial" w:eastAsiaTheme="minorEastAsia" w:hAnsi="Arial"/>
      <w:i/>
      <w:iCs/>
      <w:color w:val="44546A" w:themeColor="text2"/>
      <w:sz w:val="18"/>
      <w:szCs w:val="18"/>
      <w:lang w:val="es-ES" w:eastAsia="zh-CN"/>
    </w:rPr>
  </w:style>
  <w:style w:type="table" w:customStyle="1" w:styleId="Tablaconcuadrcula1">
    <w:name w:val="Tabla con cuadrícula1"/>
    <w:basedOn w:val="Tablanormal"/>
    <w:next w:val="Tablaconcuadrcula"/>
    <w:uiPriority w:val="3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pPr>
      <w:spacing w:after="0" w:line="240" w:lineRule="auto"/>
    </w:pPr>
    <w:rPr>
      <w:rFonts w:ascii="Arial" w:eastAsiaTheme="minorEastAsia" w:hAnsi="Arial"/>
      <w:lang w:val="es-ES" w:eastAsia="zh-CN"/>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table" w:customStyle="1" w:styleId="Tablaconcuadrcula2-nfasis11">
    <w:name w:val="Tabla con cuadrícula 2 - Énfasis 11"/>
    <w:basedOn w:val="Tablanormal"/>
    <w:next w:val="Tabladecuadrcula2-nfasis11"/>
    <w:uiPriority w:val="47"/>
    <w:pPr>
      <w:spacing w:after="0" w:line="240" w:lineRule="auto"/>
    </w:pPr>
    <w:rPr>
      <w:rFonts w:eastAsia="Calibri"/>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2-nfasis11">
    <w:name w:val="Tabla de cuadrícula 2 - Énfasis 11"/>
    <w:basedOn w:val="Tablanormal"/>
    <w:uiPriority w:val="47"/>
    <w:pPr>
      <w:spacing w:after="0" w:line="240" w:lineRule="auto"/>
    </w:pPr>
    <w:rPr>
      <w:rFonts w:eastAsiaTheme="minorEastAsia"/>
      <w:lang w:val="es-AR" w:eastAsia="zh-CN"/>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3">
    <w:name w:val="Pa3"/>
    <w:basedOn w:val="Normal"/>
    <w:next w:val="Normal"/>
    <w:uiPriority w:val="99"/>
    <w:pPr>
      <w:autoSpaceDE w:val="0"/>
      <w:autoSpaceDN w:val="0"/>
      <w:adjustRightInd w:val="0"/>
      <w:spacing w:after="0" w:line="221" w:lineRule="atLeast"/>
    </w:pPr>
    <w:rPr>
      <w:rFonts w:ascii="Arial" w:hAnsi="Arial" w:cs="Arial"/>
      <w:sz w:val="24"/>
      <w:szCs w:val="24"/>
      <w:lang w:val="es-MX"/>
    </w:rPr>
  </w:style>
  <w:style w:type="paragraph" w:customStyle="1" w:styleId="Cuerpo">
    <w:name w:val="Cuerpo"/>
    <w:uiPriority w:val="99"/>
    <w:pPr>
      <w:pBdr>
        <w:top w:val="nil"/>
        <w:left w:val="nil"/>
        <w:bottom w:val="nil"/>
        <w:right w:val="nil"/>
        <w:between w:val="nil"/>
        <w:bar w:val="nil"/>
      </w:pBdr>
      <w:spacing w:before="120" w:after="120" w:line="360" w:lineRule="auto"/>
      <w:jc w:val="both"/>
    </w:pPr>
    <w:rPr>
      <w:rFonts w:ascii="Calibri" w:eastAsia="Arial Unicode MS" w:hAnsi="Calibri" w:cs="Arial Unicode MS"/>
      <w:color w:val="000000"/>
      <w:u w:color="000000"/>
      <w:bdr w:val="nil"/>
      <w:lang w:eastAsia="es-ES_tradnl"/>
      <w14:textOutline w14:w="0" w14:cap="flat" w14:cmpd="sng" w14:algn="ctr">
        <w14:noFill/>
        <w14:prstDash w14:val="solid"/>
        <w14:bevel/>
      </w14:textOutline>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DH1 Car"/>
    <w:basedOn w:val="Fuentedeprrafopredeter"/>
    <w:link w:val="Prrafodelista"/>
    <w:uiPriority w:val="34"/>
    <w:qFormat/>
    <w:rPr>
      <w:rFonts w:ascii="Arial" w:eastAsiaTheme="minorEastAsia" w:hAnsi="Arial"/>
      <w:lang w:eastAsia="zh-CN"/>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Frotiregular">
    <w:name w:val="Frotiregular"/>
    <w:basedOn w:val="Encabezado"/>
    <w:uiPriority w:val="99"/>
    <w:pPr>
      <w:tabs>
        <w:tab w:val="clear" w:pos="4680"/>
        <w:tab w:val="clear" w:pos="9360"/>
      </w:tabs>
      <w:spacing w:before="0" w:after="0"/>
      <w:jc w:val="left"/>
    </w:pPr>
    <w:rPr>
      <w:rFonts w:ascii="R Frutiger Roman" w:eastAsia="Times New Roman" w:hAnsi="R Frutiger Roman" w:cs="Times New Roman"/>
      <w:sz w:val="24"/>
      <w:szCs w:val="20"/>
      <w:lang w:val="es-ES" w:eastAsia="es-ES"/>
    </w:rPr>
  </w:style>
  <w:style w:type="character" w:customStyle="1" w:styleId="A6">
    <w:name w:val="A6"/>
    <w:rPr>
      <w:rFonts w:cs="Century"/>
      <w:color w:val="000000"/>
      <w:sz w:val="14"/>
      <w:szCs w:val="14"/>
    </w:rPr>
  </w:style>
  <w:style w:type="paragraph" w:styleId="Textosinformato">
    <w:name w:val="Plain Text"/>
    <w:basedOn w:val="Normal"/>
    <w:link w:val="TextosinformatoCar"/>
    <w:uiPriority w:val="9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Courier New"/>
      <w:sz w:val="20"/>
      <w:szCs w:val="20"/>
      <w:lang w:val="es-ES" w:eastAsia="es-ES"/>
    </w:rPr>
  </w:style>
  <w:style w:type="character" w:styleId="Nmerodepgina">
    <w:name w:val="page number"/>
    <w:basedOn w:val="Fuentedeprrafopredeter"/>
    <w:uiPriority w:val="99"/>
  </w:style>
  <w:style w:type="paragraph" w:customStyle="1" w:styleId="CharChar">
    <w:name w:val="Char Char"/>
    <w:basedOn w:val="Normal"/>
    <w:autoRedefine/>
    <w:uiPriority w:val="99"/>
    <w:pPr>
      <w:spacing w:line="240" w:lineRule="auto"/>
      <w:jc w:val="both"/>
    </w:pPr>
    <w:rPr>
      <w:rFonts w:ascii="Arial" w:eastAsia="Times New Roman" w:hAnsi="Arial" w:cs="Arial"/>
      <w:noProof/>
      <w:sz w:val="24"/>
      <w:szCs w:val="24"/>
      <w:lang w:val="es-ES"/>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1">
    <w:name w:val="Asunto del comentario Car1"/>
    <w:basedOn w:val="TextocomentarioCar1"/>
    <w:uiPriority w:val="99"/>
    <w:semiHidden/>
    <w:rPr>
      <w:b/>
      <w:bCs/>
      <w:sz w:val="20"/>
      <w:szCs w:val="20"/>
    </w:rPr>
  </w:style>
  <w:style w:type="paragraph" w:styleId="Sinespaciado">
    <w:name w:val="No Spacing"/>
    <w:link w:val="SinespaciadoCar"/>
    <w:uiPriority w:val="1"/>
    <w:qFormat/>
    <w:pPr>
      <w:spacing w:after="0" w:line="240" w:lineRule="auto"/>
    </w:pPr>
    <w:rPr>
      <w:rFonts w:ascii="Tw Cen MT" w:eastAsia="Times New Roman" w:hAnsi="Tw Cen MT" w:cs="Tw Cen MT"/>
      <w:lang w:val="es-ES" w:eastAsia="es-ES"/>
    </w:rPr>
  </w:style>
  <w:style w:type="paragraph" w:customStyle="1" w:styleId="DecimalAligned">
    <w:name w:val="Decimal Aligned"/>
    <w:basedOn w:val="Normal"/>
    <w:uiPriority w:val="99"/>
    <w:pPr>
      <w:tabs>
        <w:tab w:val="decimal" w:pos="360"/>
      </w:tabs>
      <w:spacing w:after="200" w:line="276" w:lineRule="auto"/>
    </w:pPr>
    <w:rPr>
      <w:rFonts w:ascii="Calibri" w:eastAsia="Times New Roman" w:hAnsi="Calibri" w:cs="Calibri"/>
      <w:lang w:val="es-ES"/>
    </w:rPr>
  </w:style>
  <w:style w:type="character" w:styleId="nfasissutil">
    <w:name w:val="Subtle Emphasis"/>
    <w:uiPriority w:val="99"/>
    <w:qFormat/>
    <w:rPr>
      <w:rFonts w:eastAsia="Times New Roman"/>
      <w:i/>
      <w:iCs/>
      <w:color w:val="808080"/>
      <w:sz w:val="22"/>
      <w:szCs w:val="22"/>
      <w:lang w:val="es-ES"/>
    </w:rPr>
  </w:style>
  <w:style w:type="paragraph" w:customStyle="1" w:styleId="ROMANOS">
    <w:name w:val="ROMANOS"/>
    <w:basedOn w:val="Normal"/>
    <w:uiPriority w:val="99"/>
    <w:pPr>
      <w:tabs>
        <w:tab w:val="left" w:pos="720"/>
      </w:tabs>
      <w:spacing w:after="101" w:line="216" w:lineRule="exact"/>
      <w:ind w:left="720" w:hanging="432"/>
      <w:jc w:val="both"/>
    </w:pPr>
    <w:rPr>
      <w:rFonts w:ascii="Arial" w:eastAsia="Times New Roman" w:hAnsi="Arial" w:cs="Arial"/>
      <w:sz w:val="18"/>
      <w:szCs w:val="18"/>
      <w:lang w:val="es-MX" w:eastAsia="es-ES"/>
    </w:rPr>
  </w:style>
  <w:style w:type="paragraph" w:styleId="Textoindependiente">
    <w:name w:val="Body Text"/>
    <w:basedOn w:val="Normal"/>
    <w:link w:val="TextoindependienteCar"/>
    <w:uiPriority w:val="1"/>
    <w:qFormat/>
    <w:pPr>
      <w:spacing w:after="120" w:line="240" w:lineRule="auto"/>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uiPriority w:val="1"/>
    <w:rPr>
      <w:rFonts w:ascii="Arial" w:eastAsia="Times New Roman" w:hAnsi="Arial" w:cs="Times New Roman"/>
      <w:lang w:val="es-ES" w:eastAsia="es-ES"/>
    </w:rPr>
  </w:style>
  <w:style w:type="paragraph" w:customStyle="1" w:styleId="Prrafodelista1">
    <w:name w:val="Párrafo de lista1"/>
    <w:basedOn w:val="Normal"/>
    <w:uiPriority w:val="99"/>
    <w:qFormat/>
    <w:pPr>
      <w:spacing w:after="240" w:line="240" w:lineRule="auto"/>
      <w:ind w:left="720"/>
      <w:jc w:val="both"/>
    </w:pPr>
    <w:rPr>
      <w:rFonts w:ascii="Arial" w:eastAsia="Times New Roman" w:hAnsi="Arial" w:cs="Arial"/>
      <w:lang w:val="es-ES" w:eastAsia="es-ES"/>
    </w:rPr>
  </w:style>
  <w:style w:type="paragraph" w:customStyle="1" w:styleId="xl64">
    <w:name w:val="xl64"/>
    <w:basedOn w:val="Normal"/>
    <w:uiPriority w:val="99"/>
    <w:pPr>
      <w:spacing w:before="100" w:beforeAutospacing="1" w:after="100" w:afterAutospacing="1" w:line="240" w:lineRule="auto"/>
      <w:jc w:val="center"/>
    </w:pPr>
    <w:rPr>
      <w:rFonts w:ascii="Tw Cen MT" w:eastAsia="Times New Roman" w:hAnsi="Tw Cen MT" w:cs="Times New Roman"/>
      <w:sz w:val="24"/>
      <w:szCs w:val="24"/>
      <w:lang w:val="en-US"/>
    </w:rPr>
  </w:style>
  <w:style w:type="paragraph" w:customStyle="1" w:styleId="xl65">
    <w:name w:val="xl65"/>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66">
    <w:name w:val="xl66"/>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67">
    <w:name w:val="xl67"/>
    <w:basedOn w:val="Normal"/>
    <w:uiPriority w:val="9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w Cen MT" w:eastAsia="Times New Roman" w:hAnsi="Tw Cen MT" w:cs="Times New Roman"/>
      <w:color w:val="000000"/>
      <w:sz w:val="20"/>
      <w:szCs w:val="20"/>
      <w:lang w:val="en-US"/>
    </w:rPr>
  </w:style>
  <w:style w:type="paragraph" w:customStyle="1" w:styleId="xl68">
    <w:name w:val="xl68"/>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color w:val="000000"/>
      <w:sz w:val="20"/>
      <w:szCs w:val="20"/>
      <w:lang w:val="en-US"/>
    </w:rPr>
  </w:style>
  <w:style w:type="paragraph" w:customStyle="1" w:styleId="xl69">
    <w:name w:val="xl69"/>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1">
    <w:name w:val="xl71"/>
    <w:basedOn w:val="Normal"/>
    <w:uiPriority w:val="9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3">
    <w:name w:val="xl7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w Cen MT" w:eastAsia="Times New Roman" w:hAnsi="Tw Cen MT" w:cs="Times New Roman"/>
      <w:color w:val="000000"/>
      <w:sz w:val="20"/>
      <w:szCs w:val="20"/>
      <w:lang w:val="en-US"/>
    </w:rPr>
  </w:style>
  <w:style w:type="paragraph" w:customStyle="1" w:styleId="xl75">
    <w:name w:val="xl75"/>
    <w:basedOn w:val="Normal"/>
    <w:uiPriority w:val="99"/>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line="240" w:lineRule="auto"/>
      <w:textAlignment w:val="center"/>
    </w:pPr>
    <w:rPr>
      <w:rFonts w:ascii="Tw Cen MT" w:eastAsia="Times New Roman" w:hAnsi="Tw Cen MT" w:cs="Times New Roman"/>
      <w:color w:val="000000"/>
      <w:sz w:val="20"/>
      <w:szCs w:val="20"/>
      <w:lang w:val="en-US"/>
    </w:rPr>
  </w:style>
  <w:style w:type="paragraph" w:customStyle="1" w:styleId="xl76">
    <w:name w:val="xl76"/>
    <w:basedOn w:val="Normal"/>
    <w:uiPriority w:val="99"/>
    <w:pPr>
      <w:pBdr>
        <w:top w:val="single" w:sz="4" w:space="0" w:color="4F81BD"/>
      </w:pBdr>
      <w:shd w:val="clear" w:color="4F81BD" w:fill="4F81BD"/>
      <w:spacing w:before="100" w:beforeAutospacing="1" w:after="100" w:afterAutospacing="1" w:line="240" w:lineRule="auto"/>
      <w:jc w:val="center"/>
      <w:textAlignment w:val="center"/>
    </w:pPr>
    <w:rPr>
      <w:rFonts w:ascii="Tw Cen MT" w:eastAsia="Times New Roman" w:hAnsi="Tw Cen MT" w:cs="Times New Roman"/>
      <w:b/>
      <w:bCs/>
      <w:color w:val="FFFFFF"/>
      <w:sz w:val="24"/>
      <w:szCs w:val="24"/>
      <w:lang w:val="en-US"/>
    </w:rPr>
  </w:style>
  <w:style w:type="paragraph" w:customStyle="1" w:styleId="xl77">
    <w:name w:val="xl77"/>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8">
    <w:name w:val="xl78"/>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79">
    <w:name w:val="xl79"/>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color w:val="000000"/>
      <w:sz w:val="20"/>
      <w:szCs w:val="20"/>
      <w:lang w:val="en-US"/>
    </w:rPr>
  </w:style>
  <w:style w:type="paragraph" w:customStyle="1" w:styleId="xl80">
    <w:name w:val="xl80"/>
    <w:basedOn w:val="Normal"/>
    <w:uiPriority w:val="99"/>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line="240" w:lineRule="auto"/>
      <w:jc w:val="center"/>
      <w:textAlignment w:val="center"/>
    </w:pPr>
    <w:rPr>
      <w:rFonts w:ascii="Tw Cen MT" w:eastAsia="Times New Roman" w:hAnsi="Tw Cen MT" w:cs="Times New Roman"/>
      <w:color w:val="000000"/>
      <w:sz w:val="20"/>
      <w:szCs w:val="20"/>
      <w:lang w:val="en-US"/>
    </w:rPr>
  </w:style>
  <w:style w:type="paragraph" w:customStyle="1" w:styleId="xl81">
    <w:name w:val="xl81"/>
    <w:basedOn w:val="Normal"/>
    <w:uiPriority w:val="99"/>
    <w:pPr>
      <w:pBdr>
        <w:top w:val="single" w:sz="4" w:space="0" w:color="4F81BD"/>
        <w:left w:val="single" w:sz="4" w:space="0" w:color="4F81BD"/>
      </w:pBdr>
      <w:shd w:val="clear" w:color="4F81BD" w:fill="4F81BD"/>
      <w:spacing w:before="100" w:beforeAutospacing="1" w:after="100" w:afterAutospacing="1" w:line="240" w:lineRule="auto"/>
      <w:jc w:val="center"/>
      <w:textAlignment w:val="center"/>
    </w:pPr>
    <w:rPr>
      <w:rFonts w:ascii="Tw Cen MT" w:eastAsia="Times New Roman" w:hAnsi="Tw Cen MT" w:cs="Times New Roman"/>
      <w:b/>
      <w:bCs/>
      <w:color w:val="FFFFFF"/>
      <w:sz w:val="24"/>
      <w:szCs w:val="24"/>
      <w:lang w:val="en-US"/>
    </w:rPr>
  </w:style>
  <w:style w:type="paragraph" w:customStyle="1" w:styleId="xl82">
    <w:name w:val="xl82"/>
    <w:basedOn w:val="Normal"/>
    <w:uiPriority w:val="99"/>
    <w:pPr>
      <w:pBdr>
        <w:top w:val="single" w:sz="4" w:space="0" w:color="4F81BD"/>
      </w:pBdr>
      <w:shd w:val="clear" w:color="4F81BD" w:fill="4F81BD"/>
      <w:spacing w:before="100" w:beforeAutospacing="1" w:after="100" w:afterAutospacing="1" w:line="240" w:lineRule="auto"/>
      <w:jc w:val="center"/>
      <w:textAlignment w:val="center"/>
    </w:pPr>
    <w:rPr>
      <w:rFonts w:ascii="Tw Cen MT" w:eastAsia="Times New Roman" w:hAnsi="Tw Cen MT" w:cs="Times New Roman"/>
      <w:b/>
      <w:bCs/>
      <w:color w:val="FFFFFF"/>
      <w:sz w:val="24"/>
      <w:szCs w:val="24"/>
      <w:lang w:val="en-US"/>
    </w:rPr>
  </w:style>
  <w:style w:type="paragraph" w:customStyle="1" w:styleId="xl83">
    <w:name w:val="xl83"/>
    <w:basedOn w:val="Normal"/>
    <w:uiPriority w:val="99"/>
    <w:pPr>
      <w:pBdr>
        <w:top w:val="single" w:sz="4" w:space="0" w:color="4F81BD"/>
      </w:pBdr>
      <w:shd w:val="clear" w:color="4F81BD" w:fill="4F81BD"/>
      <w:spacing w:before="100" w:beforeAutospacing="1" w:after="100" w:afterAutospacing="1" w:line="240" w:lineRule="auto"/>
      <w:textAlignment w:val="center"/>
    </w:pPr>
    <w:rPr>
      <w:rFonts w:ascii="Tw Cen MT" w:eastAsia="Times New Roman" w:hAnsi="Tw Cen MT" w:cs="Times New Roman"/>
      <w:b/>
      <w:bCs/>
      <w:color w:val="FFFFFF"/>
      <w:sz w:val="24"/>
      <w:szCs w:val="24"/>
      <w:lang w:val="en-US"/>
    </w:rPr>
  </w:style>
  <w:style w:type="paragraph" w:customStyle="1" w:styleId="xl63">
    <w:name w:val="xl63"/>
    <w:basedOn w:val="Normal"/>
    <w:uiPriority w:val="99"/>
    <w:pPr>
      <w:pBdr>
        <w:top w:val="single" w:sz="4" w:space="0" w:color="4F81BD"/>
      </w:pBdr>
      <w:shd w:val="clear" w:color="4F81BD" w:fill="4F81BD"/>
      <w:spacing w:before="100" w:beforeAutospacing="1" w:after="100" w:afterAutospacing="1" w:line="240" w:lineRule="auto"/>
      <w:jc w:val="center"/>
      <w:textAlignment w:val="center"/>
    </w:pPr>
    <w:rPr>
      <w:rFonts w:ascii="Tw Cen MT" w:eastAsia="Times New Roman" w:hAnsi="Tw Cen MT" w:cs="Times New Roman"/>
      <w:b/>
      <w:bCs/>
      <w:color w:val="FFFFFF"/>
      <w:sz w:val="24"/>
      <w:szCs w:val="24"/>
      <w:lang w:val="en-US"/>
    </w:rPr>
  </w:style>
  <w:style w:type="paragraph" w:customStyle="1" w:styleId="CharChar1">
    <w:name w:val="Char Char1"/>
    <w:basedOn w:val="Normal"/>
    <w:uiPriority w:val="99"/>
    <w:pPr>
      <w:spacing w:line="240" w:lineRule="exact"/>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uiPriority w:val="99"/>
    <w:rPr>
      <w:rFonts w:ascii="Tahoma" w:eastAsia="Times New Roman" w:hAnsi="Tahoma" w:cs="Times New Roman"/>
      <w:sz w:val="16"/>
      <w:szCs w:val="16"/>
      <w:lang w:val="es-ES"/>
    </w:rPr>
  </w:style>
  <w:style w:type="paragraph" w:styleId="Mapadeldocumento">
    <w:name w:val="Document Map"/>
    <w:basedOn w:val="Normal"/>
    <w:link w:val="MapadeldocumentoCar"/>
    <w:uiPriority w:val="99"/>
    <w:pPr>
      <w:spacing w:after="0" w:line="240" w:lineRule="auto"/>
    </w:pPr>
    <w:rPr>
      <w:rFonts w:ascii="Tahoma" w:eastAsia="Times New Roman" w:hAnsi="Tahoma" w:cs="Times New Roman"/>
      <w:sz w:val="16"/>
      <w:szCs w:val="16"/>
      <w:lang w:val="es-ES"/>
    </w:rPr>
  </w:style>
  <w:style w:type="character" w:customStyle="1" w:styleId="MapadeldocumentoCar1">
    <w:name w:val="Mapa del documento Car1"/>
    <w:basedOn w:val="Fuentedeprrafopredeter"/>
    <w:uiPriority w:val="99"/>
    <w:semiHidden/>
    <w:rPr>
      <w:rFonts w:ascii="Segoe UI" w:hAnsi="Segoe UI" w:cs="Segoe UI"/>
      <w:sz w:val="16"/>
      <w:szCs w:val="16"/>
      <w:lang w:val="es-ES_tradnl"/>
    </w:rPr>
  </w:style>
  <w:style w:type="paragraph" w:customStyle="1" w:styleId="xl84">
    <w:name w:val="xl84"/>
    <w:basedOn w:val="Normal"/>
    <w:uiPriority w:val="9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s-MX" w:eastAsia="es-MX"/>
    </w:rPr>
  </w:style>
  <w:style w:type="paragraph" w:customStyle="1" w:styleId="xl85">
    <w:name w:val="xl85"/>
    <w:basedOn w:val="Normal"/>
    <w:uiPriority w:val="9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6">
    <w:name w:val="xl86"/>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7">
    <w:name w:val="xl87"/>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8">
    <w:name w:val="xl88"/>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paragraph" w:customStyle="1" w:styleId="xl89">
    <w:name w:val="xl89"/>
    <w:basedOn w:val="Normal"/>
    <w:uiPriority w:val="9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val="es-MX" w:eastAsia="es-MX"/>
    </w:rPr>
  </w:style>
  <w:style w:type="paragraph" w:customStyle="1" w:styleId="xl90">
    <w:name w:val="xl90"/>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paragraph" w:customStyle="1" w:styleId="xl92">
    <w:name w:val="xl92"/>
    <w:basedOn w:val="Normal"/>
    <w:uiPriority w:val="9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93">
    <w:name w:val="xl93"/>
    <w:basedOn w:val="Normal"/>
    <w:uiPriority w:val="9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paragraph" w:customStyle="1" w:styleId="xl94">
    <w:name w:val="xl94"/>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95">
    <w:name w:val="xl95"/>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Texto">
    <w:name w:val="Texto"/>
    <w:basedOn w:val="Normal"/>
    <w:link w:val="TextoCar"/>
    <w:pPr>
      <w:spacing w:after="101" w:line="216" w:lineRule="exact"/>
      <w:ind w:firstLine="288"/>
      <w:jc w:val="both"/>
    </w:pPr>
    <w:rPr>
      <w:rFonts w:ascii="Arial" w:eastAsia="Times New Roman" w:hAnsi="Arial" w:cs="Times New Roman"/>
      <w:sz w:val="18"/>
      <w:szCs w:val="18"/>
      <w:lang w:eastAsia="es-ES"/>
    </w:rPr>
  </w:style>
  <w:style w:type="character" w:customStyle="1" w:styleId="TextoCar">
    <w:name w:val="Texto Car"/>
    <w:link w:val="Texto"/>
    <w:locked/>
    <w:rPr>
      <w:rFonts w:ascii="Arial" w:eastAsia="Times New Roman" w:hAnsi="Arial" w:cs="Times New Roman"/>
      <w:sz w:val="18"/>
      <w:szCs w:val="18"/>
      <w:lang w:val="es-ES_tradnl" w:eastAsia="es-ES"/>
    </w:rPr>
  </w:style>
  <w:style w:type="paragraph" w:customStyle="1" w:styleId="Textodebloque1">
    <w:name w:val="Texto de bloque1"/>
    <w:basedOn w:val="Normal"/>
    <w:uiPriority w:val="99"/>
    <w:pPr>
      <w:tabs>
        <w:tab w:val="left" w:pos="993"/>
      </w:tabs>
      <w:overflowPunct w:val="0"/>
      <w:autoSpaceDE w:val="0"/>
      <w:autoSpaceDN w:val="0"/>
      <w:adjustRightInd w:val="0"/>
      <w:spacing w:after="0" w:line="240" w:lineRule="auto"/>
      <w:ind w:left="993" w:right="-143" w:hanging="993"/>
      <w:jc w:val="both"/>
      <w:textAlignment w:val="baseline"/>
    </w:pPr>
    <w:rPr>
      <w:rFonts w:ascii="Tahoma" w:eastAsia="Times New Roman" w:hAnsi="Tahoma" w:cs="Times New Roman"/>
      <w:szCs w:val="20"/>
      <w:lang w:val="es-MX" w:eastAsia="es-ES"/>
    </w:rPr>
  </w:style>
  <w:style w:type="paragraph" w:customStyle="1" w:styleId="Textoindependiente21">
    <w:name w:val="Texto independiente 21"/>
    <w:basedOn w:val="Normal"/>
    <w:uiPriority w:val="99"/>
    <w:pPr>
      <w:overflowPunct w:val="0"/>
      <w:autoSpaceDE w:val="0"/>
      <w:autoSpaceDN w:val="0"/>
      <w:adjustRightInd w:val="0"/>
      <w:spacing w:after="0" w:line="240" w:lineRule="auto"/>
      <w:ind w:left="709"/>
      <w:jc w:val="both"/>
      <w:textAlignment w:val="baseline"/>
    </w:pPr>
    <w:rPr>
      <w:rFonts w:ascii="Tahoma" w:eastAsia="Times New Roman" w:hAnsi="Tahoma" w:cs="Times New Roman"/>
      <w:sz w:val="20"/>
      <w:szCs w:val="20"/>
      <w:lang w:val="es-MX" w:eastAsia="es-ES"/>
    </w:rPr>
  </w:style>
  <w:style w:type="paragraph" w:customStyle="1" w:styleId="Sangra2detindependiente1">
    <w:name w:val="Sangría 2 de t. independiente1"/>
    <w:basedOn w:val="Normal"/>
    <w:uiPriority w:val="99"/>
    <w:pPr>
      <w:overflowPunct w:val="0"/>
      <w:autoSpaceDE w:val="0"/>
      <w:autoSpaceDN w:val="0"/>
      <w:adjustRightInd w:val="0"/>
      <w:spacing w:after="0" w:line="240" w:lineRule="auto"/>
      <w:ind w:left="1418"/>
      <w:jc w:val="both"/>
      <w:textAlignment w:val="baseline"/>
    </w:pPr>
    <w:rPr>
      <w:rFonts w:ascii="Tahoma" w:eastAsia="Times New Roman" w:hAnsi="Tahoma" w:cs="Times New Roman"/>
      <w:sz w:val="20"/>
      <w:szCs w:val="20"/>
      <w:lang w:val="es-MX" w:eastAsia="es-ES"/>
    </w:rPr>
  </w:style>
  <w:style w:type="character" w:customStyle="1" w:styleId="Hipervnculo1">
    <w:name w:val="Hipervínculo1"/>
    <w:basedOn w:val="Fuentedeprrafopredeter"/>
    <w:rPr>
      <w:color w:val="0000FF"/>
      <w:u w:val="single"/>
    </w:rPr>
  </w:style>
  <w:style w:type="paragraph" w:customStyle="1" w:styleId="Sangra3detindependiente1">
    <w:name w:val="Sangría 3 de t. independiente1"/>
    <w:basedOn w:val="Normal"/>
    <w:uiPriority w:val="99"/>
    <w:pPr>
      <w:overflowPunct w:val="0"/>
      <w:autoSpaceDE w:val="0"/>
      <w:autoSpaceDN w:val="0"/>
      <w:adjustRightInd w:val="0"/>
      <w:spacing w:after="0" w:line="240" w:lineRule="auto"/>
      <w:ind w:left="1418" w:hanging="709"/>
      <w:jc w:val="both"/>
      <w:textAlignment w:val="baseline"/>
    </w:pPr>
    <w:rPr>
      <w:rFonts w:ascii="Tahoma" w:eastAsia="Times New Roman" w:hAnsi="Tahoma" w:cs="Times New Roman"/>
      <w:b/>
      <w:sz w:val="20"/>
      <w:szCs w:val="20"/>
      <w:lang w:val="es-MX" w:eastAsia="es-ES"/>
    </w:rPr>
  </w:style>
  <w:style w:type="paragraph" w:customStyle="1" w:styleId="BodyText22">
    <w:name w:val="Body Text 22"/>
    <w:basedOn w:val="Normal"/>
    <w:uiPriority w:val="99"/>
    <w:pPr>
      <w:tabs>
        <w:tab w:val="left" w:pos="709"/>
      </w:tabs>
      <w:overflowPunct w:val="0"/>
      <w:autoSpaceDE w:val="0"/>
      <w:autoSpaceDN w:val="0"/>
      <w:adjustRightInd w:val="0"/>
      <w:spacing w:after="0" w:line="240" w:lineRule="auto"/>
      <w:jc w:val="both"/>
      <w:textAlignment w:val="baseline"/>
    </w:pPr>
    <w:rPr>
      <w:rFonts w:ascii="Tahoma" w:eastAsia="Times New Roman" w:hAnsi="Tahoma" w:cs="Times New Roman"/>
      <w:b/>
      <w:sz w:val="20"/>
      <w:szCs w:val="20"/>
      <w:lang w:val="es-MX" w:eastAsia="es-ES"/>
    </w:rPr>
  </w:style>
  <w:style w:type="paragraph" w:customStyle="1" w:styleId="Textoindependiente31">
    <w:name w:val="Texto independiente 31"/>
    <w:basedOn w:val="Normal"/>
    <w:uiPriority w:val="99"/>
    <w:pPr>
      <w:overflowPunct w:val="0"/>
      <w:autoSpaceDE w:val="0"/>
      <w:autoSpaceDN w:val="0"/>
      <w:adjustRightInd w:val="0"/>
      <w:spacing w:after="0" w:line="240" w:lineRule="auto"/>
      <w:jc w:val="both"/>
      <w:textAlignment w:val="baseline"/>
    </w:pPr>
    <w:rPr>
      <w:rFonts w:ascii="Tahoma" w:eastAsia="Times New Roman" w:hAnsi="Tahoma" w:cs="Times New Roman"/>
      <w:szCs w:val="20"/>
      <w:lang w:val="es-MX" w:eastAsia="es-ES"/>
    </w:rPr>
  </w:style>
  <w:style w:type="paragraph" w:customStyle="1" w:styleId="BodyText23">
    <w:name w:val="Body Text 23"/>
    <w:basedOn w:val="Normal"/>
    <w:uiPriority w:val="99"/>
    <w:pPr>
      <w:widowControl w:val="0"/>
      <w:tabs>
        <w:tab w:val="left" w:pos="-1276"/>
      </w:tabs>
      <w:suppressAutoHyphens/>
      <w:overflowPunct w:val="0"/>
      <w:autoSpaceDE w:val="0"/>
      <w:autoSpaceDN w:val="0"/>
      <w:adjustRightInd w:val="0"/>
      <w:spacing w:after="0" w:line="240" w:lineRule="auto"/>
      <w:jc w:val="both"/>
      <w:textAlignment w:val="baseline"/>
    </w:pPr>
    <w:rPr>
      <w:rFonts w:ascii="Arial" w:eastAsia="Times New Roman" w:hAnsi="Arial" w:cs="Times New Roman"/>
      <w:spacing w:val="-2"/>
      <w:szCs w:val="20"/>
      <w:lang w:val="es-MX" w:eastAsia="es-ES"/>
    </w:rPr>
  </w:style>
  <w:style w:type="paragraph" w:customStyle="1" w:styleId="BodyTextIndent21">
    <w:name w:val="Body Text Indent 21"/>
    <w:basedOn w:val="Normal"/>
    <w:uiPriority w:val="99"/>
    <w:pPr>
      <w:widowControl w:val="0"/>
      <w:tabs>
        <w:tab w:val="left" w:pos="709"/>
        <w:tab w:val="left" w:pos="1134"/>
      </w:tabs>
      <w:suppressAutoHyphens/>
      <w:overflowPunct w:val="0"/>
      <w:autoSpaceDE w:val="0"/>
      <w:autoSpaceDN w:val="0"/>
      <w:adjustRightInd w:val="0"/>
      <w:spacing w:after="0" w:line="240" w:lineRule="auto"/>
      <w:ind w:left="709" w:hanging="425"/>
      <w:jc w:val="both"/>
      <w:textAlignment w:val="baseline"/>
    </w:pPr>
    <w:rPr>
      <w:rFonts w:ascii="Arial" w:eastAsia="Times New Roman" w:hAnsi="Arial" w:cs="Times New Roman"/>
      <w:spacing w:val="-2"/>
      <w:sz w:val="24"/>
      <w:szCs w:val="20"/>
      <w:lang w:val="es-MX" w:eastAsia="es-ES"/>
    </w:rPr>
  </w:style>
  <w:style w:type="paragraph" w:customStyle="1" w:styleId="BodyTextIndent22">
    <w:name w:val="Body Text Indent 22"/>
    <w:basedOn w:val="Normal"/>
    <w:uiPriority w:val="99"/>
    <w:pPr>
      <w:widowControl w:val="0"/>
      <w:tabs>
        <w:tab w:val="left" w:pos="0"/>
        <w:tab w:val="left" w:pos="227"/>
        <w:tab w:val="left" w:pos="720"/>
      </w:tabs>
      <w:suppressAutoHyphens/>
      <w:overflowPunct w:val="0"/>
      <w:autoSpaceDE w:val="0"/>
      <w:autoSpaceDN w:val="0"/>
      <w:adjustRightInd w:val="0"/>
      <w:spacing w:after="0" w:line="240" w:lineRule="auto"/>
      <w:ind w:left="2268" w:hanging="2268"/>
      <w:jc w:val="both"/>
      <w:textAlignment w:val="baseline"/>
    </w:pPr>
    <w:rPr>
      <w:rFonts w:ascii="Arial" w:eastAsia="Times New Roman" w:hAnsi="Arial" w:cs="Times New Roman"/>
      <w:spacing w:val="-2"/>
      <w:szCs w:val="20"/>
      <w:lang w:eastAsia="es-ES"/>
    </w:rPr>
  </w:style>
  <w:style w:type="paragraph" w:customStyle="1" w:styleId="BodyTextIndent33">
    <w:name w:val="Body Text Indent 33"/>
    <w:basedOn w:val="Normal"/>
    <w:uiPriority w:val="99"/>
    <w:pPr>
      <w:widowControl w:val="0"/>
      <w:tabs>
        <w:tab w:val="left" w:pos="0"/>
        <w:tab w:val="left" w:pos="227"/>
        <w:tab w:val="left" w:pos="720"/>
        <w:tab w:val="left" w:pos="1440"/>
        <w:tab w:val="left" w:pos="2127"/>
        <w:tab w:val="left" w:pos="2268"/>
      </w:tabs>
      <w:suppressAutoHyphens/>
      <w:overflowPunct w:val="0"/>
      <w:autoSpaceDE w:val="0"/>
      <w:autoSpaceDN w:val="0"/>
      <w:adjustRightInd w:val="0"/>
      <w:spacing w:after="0" w:line="240" w:lineRule="auto"/>
      <w:ind w:left="2127" w:hanging="2127"/>
      <w:jc w:val="both"/>
      <w:textAlignment w:val="baseline"/>
    </w:pPr>
    <w:rPr>
      <w:rFonts w:ascii="Arial" w:eastAsia="Times New Roman" w:hAnsi="Arial" w:cs="Times New Roman"/>
      <w:spacing w:val="-2"/>
      <w:szCs w:val="20"/>
      <w:lang w:eastAsia="es-ES"/>
    </w:rPr>
  </w:style>
  <w:style w:type="paragraph" w:customStyle="1" w:styleId="BodyText24">
    <w:name w:val="Body Text 24"/>
    <w:basedOn w:val="Normal"/>
    <w:uiPriority w:val="99"/>
    <w:pPr>
      <w:widowControl w:val="0"/>
      <w:tabs>
        <w:tab w:val="left" w:pos="0"/>
        <w:tab w:val="left" w:pos="227"/>
        <w:tab w:val="left" w:pos="720"/>
        <w:tab w:val="left" w:pos="1440"/>
        <w:tab w:val="left" w:pos="2160"/>
      </w:tabs>
      <w:suppressAutoHyphens/>
      <w:overflowPunct w:val="0"/>
      <w:autoSpaceDE w:val="0"/>
      <w:autoSpaceDN w:val="0"/>
      <w:adjustRightInd w:val="0"/>
      <w:spacing w:after="0" w:line="240" w:lineRule="auto"/>
      <w:ind w:left="851" w:hanging="567"/>
      <w:jc w:val="both"/>
      <w:textAlignment w:val="baseline"/>
    </w:pPr>
    <w:rPr>
      <w:rFonts w:ascii="Arial" w:eastAsia="Times New Roman" w:hAnsi="Arial" w:cs="Times New Roman"/>
      <w:spacing w:val="-2"/>
      <w:szCs w:val="20"/>
      <w:lang w:val="es-MX" w:eastAsia="es-ES"/>
    </w:rPr>
  </w:style>
  <w:style w:type="paragraph" w:customStyle="1" w:styleId="BodyTextIndent31">
    <w:name w:val="Body Text Indent 31"/>
    <w:basedOn w:val="Normal"/>
    <w:uiPriority w:val="99"/>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spacing w:after="0" w:line="240" w:lineRule="auto"/>
      <w:ind w:left="3402" w:hanging="22"/>
      <w:jc w:val="both"/>
      <w:textAlignment w:val="baseline"/>
    </w:pPr>
    <w:rPr>
      <w:rFonts w:ascii="Arial" w:eastAsia="Times New Roman" w:hAnsi="Arial" w:cs="Times New Roman"/>
      <w:b/>
      <w:spacing w:val="-2"/>
      <w:sz w:val="16"/>
      <w:szCs w:val="20"/>
      <w:lang w:val="es-MX" w:eastAsia="es-ES"/>
    </w:rPr>
  </w:style>
  <w:style w:type="paragraph" w:customStyle="1" w:styleId="Mapadeldocumento1">
    <w:name w:val="Mapa del documento1"/>
    <w:basedOn w:val="Normal"/>
    <w:uiPriority w:val="99"/>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val="es-MX" w:eastAsia="es-ES"/>
    </w:rPr>
  </w:style>
  <w:style w:type="character" w:customStyle="1" w:styleId="Hipervnculovisitado1">
    <w:name w:val="Hipervínculo visitado1"/>
    <w:basedOn w:val="Fuentedeprrafopredeter"/>
    <w:rPr>
      <w:color w:val="800080"/>
      <w:u w:val="single"/>
    </w:rPr>
  </w:style>
  <w:style w:type="paragraph" w:customStyle="1" w:styleId="BlockText2">
    <w:name w:val="Block Text2"/>
    <w:basedOn w:val="Normal"/>
    <w:uiPriority w:val="99"/>
    <w:pPr>
      <w:widowControl w:val="0"/>
      <w:tabs>
        <w:tab w:val="left" w:pos="0"/>
        <w:tab w:val="left" w:pos="425"/>
        <w:tab w:val="left" w:pos="720"/>
      </w:tabs>
      <w:suppressAutoHyphens/>
      <w:overflowPunct w:val="0"/>
      <w:autoSpaceDE w:val="0"/>
      <w:autoSpaceDN w:val="0"/>
      <w:adjustRightInd w:val="0"/>
      <w:spacing w:after="0" w:line="240" w:lineRule="auto"/>
      <w:ind w:left="720" w:right="-508" w:hanging="720"/>
      <w:jc w:val="both"/>
      <w:textAlignment w:val="baseline"/>
    </w:pPr>
    <w:rPr>
      <w:rFonts w:ascii="Arial" w:eastAsia="Times New Roman" w:hAnsi="Arial" w:cs="Times New Roman"/>
      <w:spacing w:val="-2"/>
      <w:sz w:val="18"/>
      <w:szCs w:val="20"/>
      <w:lang w:eastAsia="es-ES"/>
    </w:rPr>
  </w:style>
  <w:style w:type="paragraph" w:customStyle="1" w:styleId="xl29">
    <w:name w:val="xl29"/>
    <w:basedOn w:val="Normal"/>
    <w:uiPriority w:val="99"/>
    <w:pPr>
      <w:pBdr>
        <w:left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s-MX" w:eastAsia="es-ES"/>
    </w:rPr>
  </w:style>
  <w:style w:type="paragraph" w:customStyle="1" w:styleId="BodyText21">
    <w:name w:val="Body Text 21"/>
    <w:basedOn w:val="Normal"/>
    <w:uiPriority w:val="99"/>
    <w:pPr>
      <w:widowControl w:val="0"/>
      <w:overflowPunct w:val="0"/>
      <w:autoSpaceDE w:val="0"/>
      <w:autoSpaceDN w:val="0"/>
      <w:adjustRightInd w:val="0"/>
      <w:spacing w:after="0" w:line="240" w:lineRule="auto"/>
      <w:textAlignment w:val="baseline"/>
    </w:pPr>
    <w:rPr>
      <w:rFonts w:ascii="Arial" w:eastAsia="Times New Roman" w:hAnsi="Arial" w:cs="Times New Roman"/>
      <w:b/>
      <w:sz w:val="20"/>
      <w:szCs w:val="20"/>
      <w:lang w:val="es-MX" w:eastAsia="es-ES"/>
    </w:rPr>
  </w:style>
  <w:style w:type="paragraph" w:customStyle="1" w:styleId="Estndar">
    <w:name w:val="Estándar"/>
    <w:basedOn w:val="Normal"/>
    <w:uiPriority w:val="99"/>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s-MX" w:eastAsia="es-ES"/>
    </w:rPr>
  </w:style>
  <w:style w:type="paragraph" w:customStyle="1" w:styleId="xl22">
    <w:name w:val="xl22"/>
    <w:basedOn w:val="Normal"/>
    <w:uiPriority w:val="9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2"/>
      <w:szCs w:val="20"/>
      <w:lang w:val="es-MX" w:eastAsia="es-ES"/>
    </w:rPr>
  </w:style>
  <w:style w:type="paragraph" w:customStyle="1" w:styleId="xl23">
    <w:name w:val="xl23"/>
    <w:basedOn w:val="Normal"/>
    <w:uiPriority w:val="9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6"/>
      <w:szCs w:val="20"/>
      <w:lang w:val="es-MX" w:eastAsia="es-ES"/>
    </w:rPr>
  </w:style>
  <w:style w:type="paragraph" w:customStyle="1" w:styleId="xl24">
    <w:name w:val="xl24"/>
    <w:basedOn w:val="Normal"/>
    <w:uiPriority w:val="99"/>
    <w:pPr>
      <w:pBdr>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2"/>
      <w:szCs w:val="20"/>
      <w:lang w:val="es-MX" w:eastAsia="es-ES"/>
    </w:rPr>
  </w:style>
  <w:style w:type="paragraph" w:customStyle="1" w:styleId="xl25">
    <w:name w:val="xl25"/>
    <w:basedOn w:val="Normal"/>
    <w:uiPriority w:val="99"/>
    <w:pPr>
      <w:pBdr>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6"/>
      <w:szCs w:val="20"/>
      <w:lang w:val="es-MX" w:eastAsia="es-ES"/>
    </w:rPr>
  </w:style>
  <w:style w:type="paragraph" w:customStyle="1" w:styleId="xl26">
    <w:name w:val="xl26"/>
    <w:basedOn w:val="Normal"/>
    <w:uiPriority w:val="9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2"/>
      <w:szCs w:val="20"/>
      <w:lang w:val="es-MX" w:eastAsia="es-ES"/>
    </w:rPr>
  </w:style>
  <w:style w:type="paragraph" w:customStyle="1" w:styleId="xl27">
    <w:name w:val="xl27"/>
    <w:basedOn w:val="Normal"/>
    <w:uiPriority w:val="9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2"/>
      <w:szCs w:val="20"/>
      <w:lang w:val="es-MX" w:eastAsia="es-ES"/>
    </w:rPr>
  </w:style>
  <w:style w:type="paragraph" w:customStyle="1" w:styleId="xl28">
    <w:name w:val="xl28"/>
    <w:basedOn w:val="Normal"/>
    <w:uiPriority w:val="99"/>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s-MX" w:eastAsia="es-ES"/>
    </w:rPr>
  </w:style>
  <w:style w:type="paragraph" w:customStyle="1" w:styleId="xl30">
    <w:name w:val="xl30"/>
    <w:basedOn w:val="Normal"/>
    <w:uiPriority w:val="99"/>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s-MX" w:eastAsia="es-ES"/>
    </w:rPr>
  </w:style>
  <w:style w:type="paragraph" w:customStyle="1" w:styleId="xl31">
    <w:name w:val="xl31"/>
    <w:basedOn w:val="Normal"/>
    <w:uiPriority w:val="99"/>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s-MX" w:eastAsia="es-ES"/>
    </w:rPr>
  </w:style>
  <w:style w:type="paragraph" w:customStyle="1" w:styleId="xl32">
    <w:name w:val="xl32"/>
    <w:basedOn w:val="Normal"/>
    <w:uiPriority w:val="99"/>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16"/>
      <w:szCs w:val="20"/>
      <w:lang w:val="es-MX" w:eastAsia="es-ES"/>
    </w:rPr>
  </w:style>
  <w:style w:type="paragraph" w:customStyle="1" w:styleId="xl33">
    <w:name w:val="xl33"/>
    <w:basedOn w:val="Normal"/>
    <w:uiPriority w:val="99"/>
    <w:pPr>
      <w:pBdr>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16"/>
      <w:szCs w:val="20"/>
      <w:lang w:val="es-MX" w:eastAsia="es-ES"/>
    </w:rPr>
  </w:style>
  <w:style w:type="paragraph" w:customStyle="1" w:styleId="xl34">
    <w:name w:val="xl34"/>
    <w:basedOn w:val="Normal"/>
    <w:uiPriority w:val="9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16"/>
      <w:szCs w:val="20"/>
      <w:lang w:val="es-MX" w:eastAsia="es-ES"/>
    </w:rPr>
  </w:style>
  <w:style w:type="paragraph" w:customStyle="1" w:styleId="Textosinformato1">
    <w:name w:val="Texto sin formato1"/>
    <w:basedOn w:val="Normal"/>
    <w:uiPriority w:val="9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uiPriority w:val="99"/>
    <w:pPr>
      <w:widowControl w:val="0"/>
      <w:tabs>
        <w:tab w:val="left" w:pos="0"/>
        <w:tab w:val="left" w:pos="425"/>
        <w:tab w:val="left" w:pos="720"/>
      </w:tabs>
      <w:suppressAutoHyphens/>
      <w:overflowPunct w:val="0"/>
      <w:autoSpaceDE w:val="0"/>
      <w:autoSpaceDN w:val="0"/>
      <w:adjustRightInd w:val="0"/>
      <w:spacing w:after="0" w:line="240" w:lineRule="auto"/>
      <w:ind w:left="720" w:right="-508" w:hanging="720"/>
      <w:jc w:val="both"/>
      <w:textAlignment w:val="baseline"/>
    </w:pPr>
    <w:rPr>
      <w:rFonts w:ascii="Arial" w:eastAsia="Times New Roman" w:hAnsi="Arial" w:cs="Times New Roman"/>
      <w:spacing w:val="-2"/>
      <w:sz w:val="18"/>
      <w:szCs w:val="20"/>
      <w:lang w:eastAsia="es-ES"/>
    </w:rPr>
  </w:style>
  <w:style w:type="paragraph" w:customStyle="1" w:styleId="WW-Textoindependiente21">
    <w:name w:val="WW-Texto independiente 21"/>
    <w:basedOn w:val="Normal"/>
    <w:uiPriority w:val="99"/>
    <w:pPr>
      <w:overflowPunct w:val="0"/>
      <w:autoSpaceDE w:val="0"/>
      <w:autoSpaceDN w:val="0"/>
      <w:adjustRightInd w:val="0"/>
      <w:spacing w:after="0" w:line="240" w:lineRule="auto"/>
      <w:jc w:val="both"/>
      <w:textAlignment w:val="baseline"/>
    </w:pPr>
    <w:rPr>
      <w:rFonts w:ascii="Arial" w:eastAsia="Times New Roman" w:hAnsi="Arial" w:cs="Times New Roman"/>
      <w:noProof/>
      <w:sz w:val="18"/>
      <w:szCs w:val="20"/>
      <w:lang w:val="es-MX" w:eastAsia="es-ES"/>
    </w:rPr>
  </w:style>
  <w:style w:type="paragraph" w:customStyle="1" w:styleId="WW-Textoindependiente2">
    <w:name w:val="WW-Texto independiente 2"/>
    <w:basedOn w:val="Normal"/>
    <w:uiPriority w:val="99"/>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val="es-MX" w:eastAsia="es-ES"/>
    </w:rPr>
  </w:style>
  <w:style w:type="paragraph" w:customStyle="1" w:styleId="Encabezadodelatabla">
    <w:name w:val="Encabezado de la tabla"/>
    <w:basedOn w:val="Normal"/>
    <w:uiPriority w:val="99"/>
    <w:pPr>
      <w:widowControl w:val="0"/>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i/>
      <w:sz w:val="24"/>
      <w:szCs w:val="20"/>
      <w:lang w:eastAsia="es-ES"/>
    </w:rPr>
  </w:style>
  <w:style w:type="paragraph" w:styleId="Textoindependiente2">
    <w:name w:val="Body Text 2"/>
    <w:basedOn w:val="Normal"/>
    <w:link w:val="Textoindependiente2Car"/>
    <w:uiPriority w:val="99"/>
    <w:pPr>
      <w:spacing w:after="0" w:line="240" w:lineRule="auto"/>
      <w:jc w:val="both"/>
    </w:pPr>
    <w:rPr>
      <w:rFonts w:ascii="Arial" w:eastAsia="Times New Roman" w:hAnsi="Arial" w:cs="Times New Roman"/>
      <w:color w:val="000000"/>
      <w:sz w:val="18"/>
      <w:szCs w:val="24"/>
      <w:lang w:val="es-MX" w:eastAsia="es-ES"/>
    </w:rPr>
  </w:style>
  <w:style w:type="character" w:customStyle="1" w:styleId="Textoindependiente2Car">
    <w:name w:val="Texto independiente 2 Car"/>
    <w:basedOn w:val="Fuentedeprrafopredeter"/>
    <w:link w:val="Textoindependiente2"/>
    <w:uiPriority w:val="99"/>
    <w:rPr>
      <w:rFonts w:ascii="Arial" w:eastAsia="Times New Roman" w:hAnsi="Arial" w:cs="Times New Roman"/>
      <w:color w:val="000000"/>
      <w:sz w:val="18"/>
      <w:szCs w:val="24"/>
      <w:lang w:eastAsia="es-ES"/>
    </w:rPr>
  </w:style>
  <w:style w:type="paragraph" w:customStyle="1" w:styleId="NormalTabla">
    <w:name w:val="Normal Tabla"/>
    <w:basedOn w:val="Normal"/>
    <w:uiPriority w:val="99"/>
    <w:pPr>
      <w:widowControl w:val="0"/>
      <w:spacing w:after="0" w:line="240" w:lineRule="auto"/>
      <w:jc w:val="both"/>
    </w:pPr>
    <w:rPr>
      <w:rFonts w:ascii="Arial" w:eastAsia="Times New Roman" w:hAnsi="Arial" w:cs="Times New Roman"/>
      <w:snapToGrid w:val="0"/>
      <w:color w:val="000000"/>
      <w:sz w:val="20"/>
      <w:szCs w:val="20"/>
      <w:lang w:eastAsia="es-ES"/>
    </w:rPr>
  </w:style>
  <w:style w:type="paragraph" w:customStyle="1" w:styleId="BulletedItems">
    <w:name w:val="Bulleted Items"/>
    <w:basedOn w:val="Normal"/>
    <w:uiPriority w:val="99"/>
    <w:pPr>
      <w:spacing w:after="180" w:line="280" w:lineRule="exact"/>
      <w:ind w:left="1656" w:hanging="216"/>
    </w:pPr>
    <w:rPr>
      <w:rFonts w:ascii="Times New Roman" w:eastAsia="Times New Roman" w:hAnsi="Times New Roman" w:cs="Times New Roman"/>
      <w:color w:val="000000"/>
      <w:szCs w:val="20"/>
      <w:lang w:val="en-US"/>
    </w:rPr>
  </w:style>
  <w:style w:type="paragraph" w:styleId="Sangradetextonormal">
    <w:name w:val="Body Text Indent"/>
    <w:basedOn w:val="Normal"/>
    <w:link w:val="SangradetextonormalCar"/>
    <w:uiPriority w:val="99"/>
    <w:pPr>
      <w:overflowPunct w:val="0"/>
      <w:autoSpaceDE w:val="0"/>
      <w:autoSpaceDN w:val="0"/>
      <w:adjustRightInd w:val="0"/>
      <w:spacing w:after="0" w:line="240" w:lineRule="auto"/>
      <w:ind w:left="142" w:hanging="142"/>
      <w:jc w:val="both"/>
      <w:textAlignment w:val="baseline"/>
    </w:pPr>
    <w:rPr>
      <w:rFonts w:ascii="Arial" w:eastAsia="Times New Roman" w:hAnsi="Arial" w:cs="Arial"/>
      <w:sz w:val="24"/>
      <w:szCs w:val="20"/>
      <w:lang w:val="es-MX" w:eastAsia="es-ES"/>
    </w:rPr>
  </w:style>
  <w:style w:type="character" w:customStyle="1" w:styleId="SangradetextonormalCar">
    <w:name w:val="Sangría de texto normal Car"/>
    <w:basedOn w:val="Fuentedeprrafopredeter"/>
    <w:link w:val="Sangradetextonormal"/>
    <w:uiPriority w:val="99"/>
    <w:rPr>
      <w:rFonts w:ascii="Arial" w:eastAsia="Times New Roman" w:hAnsi="Arial" w:cs="Arial"/>
      <w:sz w:val="24"/>
      <w:szCs w:val="20"/>
      <w:lang w:eastAsia="es-ES"/>
    </w:rPr>
  </w:style>
  <w:style w:type="paragraph" w:styleId="Sangra2detindependiente">
    <w:name w:val="Body Text Indent 2"/>
    <w:basedOn w:val="Normal"/>
    <w:link w:val="Sangra2detindependienteCar"/>
    <w:uiPriority w:val="99"/>
    <w:pPr>
      <w:overflowPunct w:val="0"/>
      <w:autoSpaceDE w:val="0"/>
      <w:autoSpaceDN w:val="0"/>
      <w:adjustRightInd w:val="0"/>
      <w:spacing w:after="0" w:line="240" w:lineRule="auto"/>
      <w:ind w:left="2127" w:hanging="3"/>
      <w:jc w:val="both"/>
      <w:textAlignment w:val="baseline"/>
    </w:pPr>
    <w:rPr>
      <w:rFonts w:ascii="Arial" w:eastAsia="Times New Roman" w:hAnsi="Arial" w:cs="Times New Roman"/>
      <w:sz w:val="24"/>
      <w:szCs w:val="20"/>
      <w:lang w:val="es-MX" w:eastAsia="es-ES"/>
    </w:rPr>
  </w:style>
  <w:style w:type="character" w:customStyle="1" w:styleId="Sangra2detindependienteCar">
    <w:name w:val="Sangría 2 de t. independiente Car"/>
    <w:basedOn w:val="Fuentedeprrafopredeter"/>
    <w:link w:val="Sangra2detindependiente"/>
    <w:uiPriority w:val="99"/>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pPr>
      <w:numPr>
        <w:ilvl w:val="12"/>
      </w:numPr>
      <w:overflowPunct w:val="0"/>
      <w:autoSpaceDE w:val="0"/>
      <w:autoSpaceDN w:val="0"/>
      <w:adjustRightInd w:val="0"/>
      <w:spacing w:after="0" w:line="240" w:lineRule="auto"/>
      <w:ind w:left="1418"/>
      <w:jc w:val="both"/>
      <w:textAlignment w:val="baseline"/>
    </w:pPr>
    <w:rPr>
      <w:rFonts w:ascii="Arial" w:eastAsia="Times New Roman" w:hAnsi="Arial" w:cs="Times New Roman"/>
      <w:strike/>
      <w:sz w:val="24"/>
      <w:szCs w:val="20"/>
      <w:lang w:val="es-MX" w:eastAsia="es-ES"/>
    </w:rPr>
  </w:style>
  <w:style w:type="character" w:customStyle="1" w:styleId="Sangra3detindependienteCar">
    <w:name w:val="Sangría 3 de t. independiente Car"/>
    <w:basedOn w:val="Fuentedeprrafopredeter"/>
    <w:link w:val="Sangra3detindependiente"/>
    <w:uiPriority w:val="99"/>
    <w:rPr>
      <w:rFonts w:ascii="Arial" w:eastAsia="Times New Roman" w:hAnsi="Arial" w:cs="Times New Roman"/>
      <w:strike/>
      <w:sz w:val="24"/>
      <w:szCs w:val="20"/>
      <w:lang w:eastAsia="es-ES"/>
    </w:rPr>
  </w:style>
  <w:style w:type="paragraph" w:customStyle="1" w:styleId="BodyTextIndent32">
    <w:name w:val="Body Text Indent 32"/>
    <w:basedOn w:val="Normal"/>
    <w:uiPriority w:val="99"/>
    <w:pPr>
      <w:widowControl w:val="0"/>
      <w:tabs>
        <w:tab w:val="left" w:pos="0"/>
        <w:tab w:val="left" w:pos="227"/>
        <w:tab w:val="left" w:pos="720"/>
        <w:tab w:val="left" w:pos="1418"/>
        <w:tab w:val="left" w:pos="2160"/>
        <w:tab w:val="left" w:pos="2977"/>
        <w:tab w:val="left" w:pos="3600"/>
        <w:tab w:val="left" w:pos="4320"/>
      </w:tabs>
      <w:suppressAutoHyphens/>
      <w:spacing w:after="0" w:line="240" w:lineRule="auto"/>
      <w:ind w:left="709" w:hanging="709"/>
      <w:jc w:val="both"/>
    </w:pPr>
    <w:rPr>
      <w:rFonts w:ascii="Arial" w:eastAsia="Times New Roman" w:hAnsi="Arial" w:cs="Times New Roman"/>
      <w:spacing w:val="-2"/>
      <w:szCs w:val="20"/>
      <w:lang w:val="es-MX" w:eastAsia="es-ES"/>
    </w:rPr>
  </w:style>
  <w:style w:type="paragraph" w:styleId="Textoindependiente3">
    <w:name w:val="Body Text 3"/>
    <w:basedOn w:val="Normal"/>
    <w:link w:val="Textoindependiente3Car"/>
    <w:uiPriority w:val="99"/>
    <w:pPr>
      <w:spacing w:after="0" w:line="240" w:lineRule="auto"/>
    </w:pPr>
    <w:rPr>
      <w:rFonts w:ascii="Arial" w:eastAsia="Times New Roman" w:hAnsi="Arial" w:cs="Times New Roman"/>
      <w:sz w:val="24"/>
      <w:szCs w:val="20"/>
      <w:lang w:val="es-MX"/>
    </w:rPr>
  </w:style>
  <w:style w:type="character" w:customStyle="1" w:styleId="Textoindependiente3Car">
    <w:name w:val="Texto independiente 3 Car"/>
    <w:basedOn w:val="Fuentedeprrafopredeter"/>
    <w:link w:val="Textoindependiente3"/>
    <w:uiPriority w:val="99"/>
    <w:rPr>
      <w:rFonts w:ascii="Arial" w:eastAsia="Times New Roman" w:hAnsi="Arial" w:cs="Times New Roman"/>
      <w:sz w:val="24"/>
      <w:szCs w:val="20"/>
    </w:rPr>
  </w:style>
  <w:style w:type="paragraph" w:customStyle="1" w:styleId="texto0">
    <w:name w:val="texto"/>
    <w:basedOn w:val="Normal"/>
    <w:uiPriority w:val="99"/>
    <w:pPr>
      <w:spacing w:after="101" w:line="216" w:lineRule="atLeast"/>
      <w:ind w:firstLine="288"/>
      <w:jc w:val="both"/>
    </w:pPr>
    <w:rPr>
      <w:rFonts w:ascii="Arial" w:eastAsia="Times New Roman" w:hAnsi="Arial" w:cs="Times New Roman"/>
      <w:sz w:val="18"/>
      <w:szCs w:val="20"/>
      <w:lang w:eastAsia="es-ES"/>
    </w:rPr>
  </w:style>
  <w:style w:type="paragraph" w:customStyle="1" w:styleId="INCISO">
    <w:name w:val="INCISO"/>
    <w:basedOn w:val="Normal"/>
    <w:uiPriority w:val="99"/>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styleId="Listaconvietas">
    <w:name w:val="List Bullet"/>
    <w:basedOn w:val="Normal"/>
    <w:autoRedefine/>
    <w:uiPriority w:val="99"/>
    <w:pPr>
      <w:overflowPunct w:val="0"/>
      <w:autoSpaceDE w:val="0"/>
      <w:autoSpaceDN w:val="0"/>
      <w:adjustRightInd w:val="0"/>
      <w:spacing w:after="0" w:line="360" w:lineRule="auto"/>
      <w:ind w:left="357"/>
      <w:jc w:val="both"/>
      <w:textAlignment w:val="baseline"/>
    </w:pPr>
    <w:rPr>
      <w:rFonts w:ascii="Arial" w:eastAsia="Times New Roman" w:hAnsi="Arial" w:cs="Arial"/>
      <w:lang w:val="es-MX" w:eastAsia="es-ES"/>
    </w:rPr>
  </w:style>
  <w:style w:type="paragraph" w:customStyle="1" w:styleId="Bullet">
    <w:name w:val="Bullet"/>
    <w:aliases w:val="B"/>
    <w:basedOn w:val="Normal"/>
    <w:uiPriority w:val="99"/>
    <w:pPr>
      <w:tabs>
        <w:tab w:val="num" w:pos="360"/>
      </w:tabs>
      <w:spacing w:after="60" w:line="240" w:lineRule="auto"/>
      <w:ind w:left="357" w:hanging="357"/>
    </w:pPr>
    <w:rPr>
      <w:rFonts w:ascii="Times New Roman" w:eastAsia="Times New Roman" w:hAnsi="Times New Roman" w:cs="Times New Roman"/>
      <w:sz w:val="24"/>
      <w:szCs w:val="24"/>
      <w:lang w:val="en-US" w:bidi="he-IL"/>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s-MX" w:eastAsia="es-ES"/>
    </w:rPr>
  </w:style>
  <w:style w:type="character" w:styleId="nfasis">
    <w:name w:val="Emphasis"/>
    <w:basedOn w:val="Fuentedeprrafopredeter"/>
    <w:qFormat/>
    <w:rPr>
      <w:i/>
      <w:iCs/>
    </w:rPr>
  </w:style>
  <w:style w:type="paragraph" w:customStyle="1" w:styleId="Textoindependiente211">
    <w:name w:val="Texto independiente 211"/>
    <w:basedOn w:val="Normal"/>
    <w:uiPriority w:val="99"/>
    <w:pPr>
      <w:widowControl w:val="0"/>
      <w:overflowPunct w:val="0"/>
      <w:autoSpaceDE w:val="0"/>
      <w:autoSpaceDN w:val="0"/>
      <w:adjustRightInd w:val="0"/>
      <w:spacing w:after="0" w:line="240" w:lineRule="auto"/>
      <w:ind w:left="-567"/>
      <w:jc w:val="both"/>
      <w:textAlignment w:val="baseline"/>
    </w:pPr>
    <w:rPr>
      <w:rFonts w:ascii="Arial" w:eastAsia="Times New Roman" w:hAnsi="Arial" w:cs="Times New Roman"/>
      <w:szCs w:val="20"/>
      <w:lang w:val="es-MX" w:eastAsia="es-MX"/>
    </w:rPr>
  </w:style>
  <w:style w:type="paragraph" w:customStyle="1" w:styleId="OFICIAL">
    <w:name w:val="OFICIAL"/>
    <w:basedOn w:val="Normal"/>
    <w:uiPriority w:val="99"/>
    <w:pPr>
      <w:spacing w:after="0" w:line="240" w:lineRule="auto"/>
      <w:jc w:val="both"/>
    </w:pPr>
    <w:rPr>
      <w:rFonts w:ascii="Arial" w:eastAsia="Times New Roman" w:hAnsi="Arial" w:cs="Times New Roman"/>
      <w:sz w:val="24"/>
      <w:szCs w:val="20"/>
      <w:lang w:eastAsia="es-ES"/>
    </w:rPr>
  </w:style>
  <w:style w:type="paragraph" w:customStyle="1" w:styleId="bodytextindent2">
    <w:name w:val="bodytextindent2"/>
    <w:basedOn w:val="Normal"/>
    <w:uiPriority w:val="99"/>
    <w:pPr>
      <w:spacing w:before="100" w:beforeAutospacing="1" w:after="100" w:afterAutospacing="1" w:line="240" w:lineRule="auto"/>
    </w:pPr>
    <w:rPr>
      <w:rFonts w:ascii="Times New Roman" w:eastAsia="Times New Roman" w:hAnsi="Times New Roman" w:cs="Times New Roman"/>
      <w:sz w:val="24"/>
      <w:szCs w:val="24"/>
      <w:lang w:val="es-MX" w:eastAsia="es-ES"/>
    </w:rPr>
  </w:style>
  <w:style w:type="paragraph" w:customStyle="1" w:styleId="Sangra2detindependiente12">
    <w:name w:val="Sangría 2 de t. independiente12"/>
    <w:basedOn w:val="Normal"/>
    <w:uiPriority w:val="99"/>
    <w:pPr>
      <w:widowControl w:val="0"/>
      <w:overflowPunct w:val="0"/>
      <w:autoSpaceDE w:val="0"/>
      <w:autoSpaceDN w:val="0"/>
      <w:adjustRightInd w:val="0"/>
      <w:spacing w:after="0" w:line="240" w:lineRule="auto"/>
      <w:ind w:left="-567"/>
      <w:textAlignment w:val="baseline"/>
    </w:pPr>
    <w:rPr>
      <w:rFonts w:ascii="Arial" w:eastAsia="Times New Roman" w:hAnsi="Arial" w:cs="Times New Roman"/>
      <w:szCs w:val="20"/>
      <w:lang w:val="es-MX" w:eastAsia="es-MX"/>
    </w:rPr>
  </w:style>
  <w:style w:type="paragraph" w:styleId="Lista">
    <w:name w:val="List"/>
    <w:basedOn w:val="Normal"/>
    <w:uiPriority w:val="99"/>
    <w:pPr>
      <w:spacing w:after="0" w:line="240" w:lineRule="auto"/>
      <w:ind w:left="283" w:hanging="283"/>
    </w:pPr>
    <w:rPr>
      <w:rFonts w:ascii="Times New Roman" w:eastAsia="Times New Roman" w:hAnsi="Times New Roman" w:cs="Times New Roman"/>
      <w:sz w:val="20"/>
      <w:szCs w:val="20"/>
      <w:lang w:val="es-MX" w:eastAsia="es-ES"/>
    </w:rPr>
  </w:style>
  <w:style w:type="numbering" w:customStyle="1" w:styleId="Estilo1">
    <w:name w:val="Estilo1"/>
    <w:pPr>
      <w:numPr>
        <w:numId w:val="1"/>
      </w:numPr>
    </w:pPr>
  </w:style>
  <w:style w:type="numbering" w:customStyle="1" w:styleId="Estilo2">
    <w:name w:val="Estilo2"/>
    <w:pPr>
      <w:numPr>
        <w:numId w:val="2"/>
      </w:numPr>
    </w:pPr>
  </w:style>
  <w:style w:type="numbering" w:customStyle="1" w:styleId="Estilo3">
    <w:name w:val="Estilo3"/>
    <w:pPr>
      <w:numPr>
        <w:numId w:val="3"/>
      </w:numPr>
    </w:pPr>
  </w:style>
  <w:style w:type="numbering" w:customStyle="1" w:styleId="Estilo4">
    <w:name w:val="Estilo4"/>
    <w:pPr>
      <w:numPr>
        <w:numId w:val="4"/>
      </w:numPr>
    </w:pPr>
  </w:style>
  <w:style w:type="numbering" w:customStyle="1" w:styleId="Estilo5">
    <w:name w:val="Estilo5"/>
    <w:pPr>
      <w:numPr>
        <w:numId w:val="5"/>
      </w:numPr>
    </w:pPr>
  </w:style>
  <w:style w:type="numbering" w:customStyle="1" w:styleId="Estilo6">
    <w:name w:val="Estilo6"/>
    <w:pPr>
      <w:numPr>
        <w:numId w:val="6"/>
      </w:numPr>
    </w:pPr>
  </w:style>
  <w:style w:type="numbering" w:customStyle="1" w:styleId="Estilo7">
    <w:name w:val="Estilo7"/>
    <w:pPr>
      <w:numPr>
        <w:numId w:val="7"/>
      </w:numPr>
    </w:pPr>
  </w:style>
  <w:style w:type="numbering" w:customStyle="1" w:styleId="Estilo8">
    <w:name w:val="Estilo8"/>
    <w:pPr>
      <w:numPr>
        <w:numId w:val="8"/>
      </w:numPr>
    </w:pPr>
  </w:style>
  <w:style w:type="numbering" w:customStyle="1" w:styleId="Estilo9">
    <w:name w:val="Estilo9"/>
    <w:pPr>
      <w:numPr>
        <w:numId w:val="9"/>
      </w:numPr>
    </w:pPr>
  </w:style>
  <w:style w:type="numbering" w:customStyle="1" w:styleId="Estilo10">
    <w:name w:val="Estilo10"/>
    <w:pPr>
      <w:numPr>
        <w:numId w:val="10"/>
      </w:numPr>
    </w:pPr>
  </w:style>
  <w:style w:type="numbering" w:customStyle="1" w:styleId="Estilo11">
    <w:name w:val="Estilo11"/>
    <w:pPr>
      <w:numPr>
        <w:numId w:val="11"/>
      </w:numPr>
    </w:pPr>
  </w:style>
  <w:style w:type="numbering" w:customStyle="1" w:styleId="Estilo12">
    <w:name w:val="Estilo12"/>
    <w:pPr>
      <w:numPr>
        <w:numId w:val="12"/>
      </w:numPr>
    </w:pPr>
  </w:style>
  <w:style w:type="numbering" w:customStyle="1" w:styleId="Estilo13">
    <w:name w:val="Estilo13"/>
    <w:pPr>
      <w:numPr>
        <w:numId w:val="13"/>
      </w:numPr>
    </w:pPr>
  </w:style>
  <w:style w:type="numbering" w:customStyle="1" w:styleId="Estilo14">
    <w:name w:val="Estilo14"/>
    <w:pPr>
      <w:numPr>
        <w:numId w:val="14"/>
      </w:numPr>
    </w:pPr>
  </w:style>
  <w:style w:type="numbering" w:customStyle="1" w:styleId="Estilo15">
    <w:name w:val="Estilo15"/>
    <w:pPr>
      <w:numPr>
        <w:numId w:val="15"/>
      </w:numPr>
    </w:pPr>
  </w:style>
  <w:style w:type="numbering" w:customStyle="1" w:styleId="Estilo16">
    <w:name w:val="Estilo16"/>
    <w:pPr>
      <w:numPr>
        <w:numId w:val="16"/>
      </w:numPr>
    </w:pPr>
  </w:style>
  <w:style w:type="numbering" w:customStyle="1" w:styleId="Estilo17">
    <w:name w:val="Estilo17"/>
    <w:pPr>
      <w:numPr>
        <w:numId w:val="17"/>
      </w:numPr>
    </w:pPr>
  </w:style>
  <w:style w:type="numbering" w:customStyle="1" w:styleId="Estilo18">
    <w:name w:val="Estilo18"/>
    <w:pPr>
      <w:numPr>
        <w:numId w:val="18"/>
      </w:numPr>
    </w:pPr>
  </w:style>
  <w:style w:type="numbering" w:customStyle="1" w:styleId="Estilo19">
    <w:name w:val="Estilo19"/>
    <w:pPr>
      <w:numPr>
        <w:numId w:val="19"/>
      </w:numPr>
    </w:pPr>
  </w:style>
  <w:style w:type="numbering" w:customStyle="1" w:styleId="Estilo20">
    <w:name w:val="Estilo20"/>
    <w:pPr>
      <w:numPr>
        <w:numId w:val="20"/>
      </w:numPr>
    </w:pPr>
  </w:style>
  <w:style w:type="numbering" w:customStyle="1" w:styleId="Estilo21">
    <w:name w:val="Estilo21"/>
    <w:pPr>
      <w:numPr>
        <w:numId w:val="21"/>
      </w:numPr>
    </w:pPr>
  </w:style>
  <w:style w:type="paragraph" w:customStyle="1" w:styleId="clausulado">
    <w:name w:val="clausulado"/>
    <w:basedOn w:val="Normal"/>
    <w:uiPriority w:val="99"/>
    <w:pPr>
      <w:widowControl w:val="0"/>
      <w:autoSpaceDE w:val="0"/>
      <w:autoSpaceDN w:val="0"/>
      <w:spacing w:after="0" w:line="240" w:lineRule="auto"/>
      <w:ind w:left="1985" w:hanging="1985"/>
      <w:jc w:val="both"/>
    </w:pPr>
    <w:rPr>
      <w:rFonts w:ascii="Arial" w:eastAsia="Times New Roman" w:hAnsi="Arial" w:cs="Arial"/>
      <w:bCs/>
      <w:szCs w:val="24"/>
      <w:lang w:eastAsia="es-ES"/>
    </w:rPr>
  </w:style>
  <w:style w:type="paragraph" w:customStyle="1" w:styleId="Textoindependiente22">
    <w:name w:val="Texto independiente 22"/>
    <w:basedOn w:val="Normal"/>
    <w:uiPriority w:val="99"/>
    <w:pPr>
      <w:overflowPunct w:val="0"/>
      <w:autoSpaceDE w:val="0"/>
      <w:autoSpaceDN w:val="0"/>
      <w:adjustRightInd w:val="0"/>
      <w:spacing w:after="0" w:line="240" w:lineRule="auto"/>
      <w:ind w:left="709"/>
      <w:jc w:val="both"/>
      <w:textAlignment w:val="baseline"/>
    </w:pPr>
    <w:rPr>
      <w:rFonts w:ascii="Tahoma" w:eastAsia="Times New Roman" w:hAnsi="Tahoma" w:cs="Times New Roman"/>
      <w:sz w:val="20"/>
      <w:szCs w:val="20"/>
      <w:lang w:val="es-MX" w:eastAsia="es-ES"/>
    </w:rPr>
  </w:style>
  <w:style w:type="table" w:styleId="Tablaconlista4">
    <w:name w:val="Table List 4"/>
    <w:basedOn w:val="Tablanormal"/>
    <w:pPr>
      <w:spacing w:after="0" w:line="240" w:lineRule="auto"/>
    </w:pPr>
    <w:rPr>
      <w:rFonts w:ascii="Times" w:eastAsia="Times" w:hAnsi="Times" w:cs="Times New Roman"/>
      <w:sz w:val="20"/>
      <w:szCs w:val="20"/>
      <w:lang w:val="es-ES_tradnl"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uiPriority w:val="9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MX" w:eastAsia="es-ES"/>
    </w:rPr>
  </w:style>
  <w:style w:type="paragraph" w:customStyle="1" w:styleId="Sangra2detindependiente2">
    <w:name w:val="Sangría 2 de t. independiente2"/>
    <w:basedOn w:val="Normal"/>
    <w:uiPriority w:val="99"/>
    <w:pPr>
      <w:overflowPunct w:val="0"/>
      <w:autoSpaceDE w:val="0"/>
      <w:autoSpaceDN w:val="0"/>
      <w:adjustRightInd w:val="0"/>
      <w:spacing w:after="0" w:line="240" w:lineRule="auto"/>
      <w:ind w:left="1418"/>
      <w:jc w:val="both"/>
      <w:textAlignment w:val="baseline"/>
    </w:pPr>
    <w:rPr>
      <w:rFonts w:ascii="Tahoma" w:eastAsia="Times New Roman" w:hAnsi="Tahoma" w:cs="Times New Roman"/>
      <w:sz w:val="20"/>
      <w:szCs w:val="20"/>
      <w:lang w:val="es-MX" w:eastAsia="es-ES"/>
    </w:rPr>
  </w:style>
  <w:style w:type="paragraph" w:customStyle="1" w:styleId="Sangra2detindependiente3">
    <w:name w:val="Sangría 2 de t. independiente3"/>
    <w:basedOn w:val="Normal"/>
    <w:uiPriority w:val="99"/>
    <w:pPr>
      <w:spacing w:after="0" w:line="240" w:lineRule="exact"/>
      <w:ind w:left="567" w:hanging="567"/>
      <w:jc w:val="both"/>
    </w:pPr>
    <w:rPr>
      <w:rFonts w:ascii="Arial" w:eastAsia="Times New Roman" w:hAnsi="Arial" w:cs="Times New Roman"/>
      <w:szCs w:val="20"/>
      <w:lang w:val="es-MX" w:eastAsia="es-ES"/>
    </w:rPr>
  </w:style>
  <w:style w:type="character" w:customStyle="1" w:styleId="Textoindependiente3Car1">
    <w:name w:val="Texto independiente 3 Car1"/>
    <w:basedOn w:val="Fuentedeprrafopredeter"/>
    <w:uiPriority w:val="99"/>
    <w:semiHidden/>
    <w:rPr>
      <w:rFonts w:ascii="Times New Roman" w:eastAsia="Times New Roman" w:hAnsi="Times New Roman"/>
      <w:sz w:val="16"/>
      <w:szCs w:val="16"/>
    </w:rPr>
  </w:style>
  <w:style w:type="character" w:customStyle="1" w:styleId="TextodegloboCar1">
    <w:name w:val="Texto de globo Car1"/>
    <w:basedOn w:val="Fuentedeprrafopredeter"/>
    <w:uiPriority w:val="99"/>
    <w:semiHidden/>
    <w:rPr>
      <w:rFonts w:ascii="Tahoma" w:eastAsia="Times New Roman" w:hAnsi="Tahoma" w:cs="Tahoma"/>
      <w:sz w:val="16"/>
      <w:szCs w:val="16"/>
    </w:rPr>
  </w:style>
  <w:style w:type="paragraph" w:customStyle="1" w:styleId="Textoindependiente24">
    <w:name w:val="Texto independiente 24"/>
    <w:basedOn w:val="Normal"/>
    <w:uiPriority w:val="99"/>
    <w:pPr>
      <w:widowControl w:val="0"/>
      <w:overflowPunct w:val="0"/>
      <w:autoSpaceDE w:val="0"/>
      <w:autoSpaceDN w:val="0"/>
      <w:adjustRightInd w:val="0"/>
      <w:spacing w:after="0" w:line="240" w:lineRule="auto"/>
      <w:jc w:val="both"/>
    </w:pPr>
    <w:rPr>
      <w:rFonts w:ascii="Arial" w:eastAsia="Times New Roman" w:hAnsi="Arial" w:cs="Times New Roman"/>
      <w:sz w:val="24"/>
      <w:szCs w:val="20"/>
      <w:lang w:val="es-MX" w:eastAsia="es-ES"/>
    </w:rPr>
  </w:style>
  <w:style w:type="paragraph" w:customStyle="1" w:styleId="Style2">
    <w:name w:val="Style 2"/>
    <w:uiPriority w:val="99"/>
    <w:pPr>
      <w:widowControl w:val="0"/>
      <w:autoSpaceDE w:val="0"/>
      <w:autoSpaceDN w:val="0"/>
      <w:spacing w:before="252" w:after="0" w:line="360" w:lineRule="auto"/>
      <w:ind w:left="1152" w:right="504"/>
      <w:jc w:val="both"/>
    </w:pPr>
    <w:rPr>
      <w:rFonts w:ascii="Times New Roman" w:eastAsia="Times New Roman" w:hAnsi="Times New Roman" w:cs="Times New Roman"/>
      <w:sz w:val="24"/>
      <w:szCs w:val="24"/>
      <w:lang w:val="en-US" w:eastAsia="es-ES"/>
    </w:rPr>
  </w:style>
  <w:style w:type="paragraph" w:customStyle="1" w:styleId="Style1">
    <w:name w:val="Style 1"/>
    <w:uiPriority w:val="9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Pr>
      <w:sz w:val="20"/>
      <w:szCs w:val="20"/>
    </w:rPr>
  </w:style>
  <w:style w:type="paragraph" w:customStyle="1" w:styleId="Style3">
    <w:name w:val="Style 3"/>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Style4">
    <w:name w:val="Style 4"/>
    <w:uiPriority w:val="99"/>
    <w:pPr>
      <w:widowControl w:val="0"/>
      <w:autoSpaceDE w:val="0"/>
      <w:autoSpaceDN w:val="0"/>
      <w:spacing w:after="0" w:line="360" w:lineRule="auto"/>
      <w:ind w:left="1224" w:right="432" w:hanging="360"/>
      <w:jc w:val="both"/>
    </w:pPr>
    <w:rPr>
      <w:rFonts w:ascii="Times New Roman" w:eastAsia="Times New Roman" w:hAnsi="Times New Roman" w:cs="Times New Roman"/>
      <w:sz w:val="24"/>
      <w:szCs w:val="24"/>
      <w:lang w:val="en-US" w:eastAsia="es-ES"/>
    </w:rPr>
  </w:style>
  <w:style w:type="paragraph" w:customStyle="1" w:styleId="Style5">
    <w:name w:val="Style 5"/>
    <w:uiPriority w:val="99"/>
    <w:pPr>
      <w:widowControl w:val="0"/>
      <w:autoSpaceDE w:val="0"/>
      <w:autoSpaceDN w:val="0"/>
      <w:spacing w:after="0" w:line="240" w:lineRule="auto"/>
      <w:ind w:left="1656"/>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Pr>
      <w:sz w:val="20"/>
      <w:szCs w:val="20"/>
    </w:rPr>
  </w:style>
  <w:style w:type="character" w:customStyle="1" w:styleId="CharacterStyle3">
    <w:name w:val="Character Style 3"/>
    <w:uiPriority w:val="99"/>
    <w:rPr>
      <w:rFonts w:ascii="Tahoma" w:hAnsi="Tahoma" w:cs="Tahoma"/>
      <w:sz w:val="20"/>
      <w:szCs w:val="20"/>
    </w:rPr>
  </w:style>
  <w:style w:type="paragraph" w:customStyle="1" w:styleId="Sangra2detindependiente11">
    <w:name w:val="Sangría 2 de t. independiente11"/>
    <w:basedOn w:val="Normal"/>
    <w:uiPriority w:val="99"/>
    <w:pPr>
      <w:spacing w:after="0" w:line="240" w:lineRule="exact"/>
      <w:ind w:left="567" w:hanging="567"/>
      <w:jc w:val="both"/>
    </w:pPr>
    <w:rPr>
      <w:rFonts w:ascii="Arial" w:eastAsia="Times New Roman" w:hAnsi="Arial" w:cs="Times New Roman"/>
      <w:szCs w:val="20"/>
      <w:lang w:val="es-MX" w:eastAsia="es-ES"/>
    </w:rPr>
  </w:style>
  <w:style w:type="character" w:customStyle="1" w:styleId="apple-style-span">
    <w:name w:val="apple-style-span"/>
    <w:basedOn w:val="Fuentedeprrafopredeter"/>
  </w:style>
  <w:style w:type="paragraph" w:customStyle="1" w:styleId="v14b">
    <w:name w:val="v14b"/>
    <w:basedOn w:val="Normal"/>
    <w:uiPriority w:val="99"/>
    <w:pPr>
      <w:spacing w:before="100" w:beforeAutospacing="1" w:after="100" w:afterAutospacing="1" w:line="240" w:lineRule="auto"/>
    </w:pPr>
    <w:rPr>
      <w:rFonts w:ascii="Verdana" w:eastAsia="Times New Roman" w:hAnsi="Verdana" w:cs="Times New Roman"/>
      <w:b/>
      <w:bCs/>
      <w:sz w:val="21"/>
      <w:szCs w:val="21"/>
      <w:lang w:val="es-MX" w:eastAsia="es-ES"/>
    </w:rPr>
  </w:style>
  <w:style w:type="paragraph" w:customStyle="1" w:styleId="arial131">
    <w:name w:val="arial131"/>
    <w:basedOn w:val="Normal"/>
    <w:uiPriority w:val="99"/>
    <w:pPr>
      <w:spacing w:before="100" w:beforeAutospacing="1" w:after="100" w:afterAutospacing="1" w:line="317" w:lineRule="atLeast"/>
    </w:pPr>
    <w:rPr>
      <w:rFonts w:ascii="Arial" w:eastAsia="Times New Roman" w:hAnsi="Arial" w:cs="Arial"/>
      <w:sz w:val="21"/>
      <w:szCs w:val="21"/>
      <w:lang w:val="es-MX" w:eastAsia="es-ES"/>
    </w:rPr>
  </w:style>
  <w:style w:type="character" w:customStyle="1" w:styleId="v20b1">
    <w:name w:val="v20b1"/>
    <w:basedOn w:val="Fuentedeprrafopredeter"/>
    <w:rPr>
      <w:rFonts w:ascii="Verdana" w:hAnsi="Verdana" w:hint="default"/>
      <w:b/>
      <w:bCs/>
      <w:sz w:val="30"/>
      <w:szCs w:val="30"/>
    </w:rPr>
  </w:style>
  <w:style w:type="character" w:customStyle="1" w:styleId="v111">
    <w:name w:val="v111"/>
    <w:basedOn w:val="Fuentedeprrafopredeter"/>
    <w:rPr>
      <w:rFonts w:ascii="Verdana" w:hAnsi="Verdana" w:hint="default"/>
      <w:sz w:val="17"/>
      <w:szCs w:val="17"/>
    </w:rPr>
  </w:style>
  <w:style w:type="paragraph" w:styleId="Textodebloque">
    <w:name w:val="Block Text"/>
    <w:basedOn w:val="Normal"/>
    <w:uiPriority w:val="99"/>
    <w:pPr>
      <w:widowControl w:val="0"/>
      <w:tabs>
        <w:tab w:val="left" w:pos="567"/>
      </w:tabs>
      <w:suppressAutoHyphens/>
      <w:overflowPunct w:val="0"/>
      <w:autoSpaceDE w:val="0"/>
      <w:autoSpaceDN w:val="0"/>
      <w:adjustRightInd w:val="0"/>
      <w:spacing w:after="0" w:line="240" w:lineRule="auto"/>
      <w:ind w:left="567" w:right="50" w:hanging="567"/>
      <w:jc w:val="both"/>
      <w:textAlignment w:val="baseline"/>
    </w:pPr>
    <w:rPr>
      <w:rFonts w:ascii="Arial" w:eastAsia="Times New Roman" w:hAnsi="Arial" w:cs="Times New Roman"/>
      <w:b/>
      <w:spacing w:val="-2"/>
      <w:sz w:val="24"/>
      <w:szCs w:val="20"/>
      <w:lang w:val="es-MX" w:eastAsia="es-MX"/>
    </w:rPr>
  </w:style>
  <w:style w:type="paragraph" w:customStyle="1" w:styleId="Normal2">
    <w:name w:val="Normal2"/>
    <w:basedOn w:val="Normal"/>
    <w:uiPriority w:val="99"/>
    <w:pPr>
      <w:spacing w:after="0" w:line="360" w:lineRule="auto"/>
      <w:jc w:val="both"/>
    </w:pPr>
    <w:rPr>
      <w:rFonts w:ascii="Arial" w:eastAsia="Times New Roman" w:hAnsi="Arial" w:cs="Times New Roman"/>
      <w:i/>
      <w:szCs w:val="20"/>
      <w:lang w:val="es-MX" w:eastAsia="es-ES"/>
    </w:rPr>
  </w:style>
  <w:style w:type="paragraph" w:customStyle="1" w:styleId="romanos0">
    <w:name w:val="romanos"/>
    <w:basedOn w:val="Normal"/>
    <w:uiPriority w:val="99"/>
    <w:pPr>
      <w:spacing w:after="101" w:line="216" w:lineRule="atLeast"/>
      <w:ind w:left="720" w:hanging="432"/>
      <w:jc w:val="both"/>
    </w:pPr>
    <w:rPr>
      <w:rFonts w:ascii="Arial" w:eastAsia="Calibri" w:hAnsi="Arial" w:cs="Arial"/>
      <w:sz w:val="18"/>
      <w:szCs w:val="18"/>
      <w:lang w:val="es-MX" w:eastAsia="es-ES"/>
    </w:rPr>
  </w:style>
  <w:style w:type="paragraph" w:customStyle="1" w:styleId="inciso0">
    <w:name w:val="inciso"/>
    <w:basedOn w:val="Normal"/>
    <w:uiPriority w:val="99"/>
    <w:pPr>
      <w:spacing w:after="101" w:line="216" w:lineRule="atLeast"/>
      <w:ind w:left="1152" w:hanging="432"/>
      <w:jc w:val="both"/>
    </w:pPr>
    <w:rPr>
      <w:rFonts w:ascii="Arial" w:eastAsia="Calibri" w:hAnsi="Arial" w:cs="Arial"/>
      <w:sz w:val="18"/>
      <w:szCs w:val="18"/>
      <w:lang w:val="es-MX" w:eastAsia="es-ES"/>
    </w:rPr>
  </w:style>
  <w:style w:type="table" w:customStyle="1" w:styleId="Listaclara-nfasis11">
    <w:name w:val="Lista clara - Énfasis 11"/>
    <w:basedOn w:val="Tablanormal"/>
    <w:uiPriority w:val="61"/>
    <w:pPr>
      <w:spacing w:after="0" w:line="240" w:lineRule="auto"/>
      <w:ind w:left="709" w:firstLine="357"/>
      <w:jc w:val="both"/>
    </w:pPr>
    <w:rPr>
      <w:rFonts w:ascii="Calibri" w:eastAsia="Calibri" w:hAnsi="Calibri" w:cs="Times New Roman"/>
      <w:lang w:val="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pPr>
      <w:spacing w:before="100" w:beforeAutospacing="1" w:after="100" w:afterAutospacing="1" w:line="240" w:lineRule="auto"/>
    </w:pPr>
    <w:rPr>
      <w:rFonts w:ascii="Verdana" w:eastAsia="Times" w:hAnsi="Verdana" w:cs="Times New Roman"/>
      <w:color w:val="595959"/>
      <w:sz w:val="17"/>
      <w:szCs w:val="17"/>
      <w:lang w:val="es-MX" w:eastAsia="es-ES"/>
    </w:rPr>
  </w:style>
  <w:style w:type="paragraph" w:customStyle="1" w:styleId="TtulodeTDC1">
    <w:name w:val="Título de TDC1"/>
    <w:basedOn w:val="Ttulo1"/>
    <w:next w:val="Normal"/>
    <w:uiPriority w:val="99"/>
    <w:semiHidden/>
    <w:pPr>
      <w:overflowPunct w:val="0"/>
      <w:autoSpaceDE w:val="0"/>
      <w:autoSpaceDN w:val="0"/>
      <w:adjustRightInd w:val="0"/>
      <w:spacing w:before="480" w:line="276" w:lineRule="auto"/>
      <w:textAlignment w:val="baseline"/>
      <w:outlineLvl w:val="9"/>
    </w:pPr>
    <w:rPr>
      <w:rFonts w:ascii="Cambria" w:eastAsia="Times" w:hAnsi="Cambria" w:cs="Times New Roman"/>
      <w:bCs/>
      <w:color w:val="365F91"/>
      <w:szCs w:val="28"/>
      <w:lang w:val="es-MX"/>
    </w:rPr>
  </w:style>
  <w:style w:type="paragraph" w:styleId="TDC4">
    <w:name w:val="toc 4"/>
    <w:basedOn w:val="Normal"/>
    <w:next w:val="Normal"/>
    <w:autoRedefine/>
    <w:uiPriority w:val="39"/>
    <w:pPr>
      <w:spacing w:after="0" w:line="240" w:lineRule="auto"/>
      <w:ind w:left="480"/>
    </w:pPr>
    <w:rPr>
      <w:rFonts w:ascii="Calibri" w:eastAsia="Times New Roman" w:hAnsi="Calibri" w:cs="Times New Roman"/>
      <w:sz w:val="20"/>
      <w:szCs w:val="20"/>
      <w:lang w:eastAsia="es-ES"/>
    </w:rPr>
  </w:style>
  <w:style w:type="paragraph" w:styleId="TDC5">
    <w:name w:val="toc 5"/>
    <w:basedOn w:val="Normal"/>
    <w:next w:val="Normal"/>
    <w:autoRedefine/>
    <w:uiPriority w:val="39"/>
    <w:pPr>
      <w:spacing w:after="0" w:line="240" w:lineRule="auto"/>
      <w:ind w:left="720"/>
    </w:pPr>
    <w:rPr>
      <w:rFonts w:ascii="Calibri" w:eastAsia="Times New Roman" w:hAnsi="Calibri" w:cs="Times New Roman"/>
      <w:sz w:val="20"/>
      <w:szCs w:val="20"/>
      <w:lang w:eastAsia="es-ES"/>
    </w:rPr>
  </w:style>
  <w:style w:type="paragraph" w:styleId="TDC6">
    <w:name w:val="toc 6"/>
    <w:basedOn w:val="Normal"/>
    <w:next w:val="Normal"/>
    <w:autoRedefine/>
    <w:uiPriority w:val="39"/>
    <w:pPr>
      <w:spacing w:after="0" w:line="240" w:lineRule="auto"/>
      <w:ind w:left="960"/>
    </w:pPr>
    <w:rPr>
      <w:rFonts w:ascii="Calibri" w:eastAsia="Times New Roman" w:hAnsi="Calibri" w:cs="Times New Roman"/>
      <w:sz w:val="20"/>
      <w:szCs w:val="20"/>
      <w:lang w:eastAsia="es-ES"/>
    </w:rPr>
  </w:style>
  <w:style w:type="paragraph" w:styleId="TDC7">
    <w:name w:val="toc 7"/>
    <w:basedOn w:val="Normal"/>
    <w:next w:val="Normal"/>
    <w:autoRedefine/>
    <w:uiPriority w:val="39"/>
    <w:pPr>
      <w:spacing w:after="0" w:line="240" w:lineRule="auto"/>
      <w:ind w:left="1200"/>
    </w:pPr>
    <w:rPr>
      <w:rFonts w:ascii="Calibri" w:eastAsia="Times New Roman" w:hAnsi="Calibri" w:cs="Times New Roman"/>
      <w:sz w:val="20"/>
      <w:szCs w:val="20"/>
      <w:lang w:eastAsia="es-ES"/>
    </w:rPr>
  </w:style>
  <w:style w:type="paragraph" w:styleId="TDC8">
    <w:name w:val="toc 8"/>
    <w:basedOn w:val="Normal"/>
    <w:next w:val="Normal"/>
    <w:autoRedefine/>
    <w:uiPriority w:val="39"/>
    <w:pPr>
      <w:spacing w:after="0" w:line="240" w:lineRule="auto"/>
      <w:ind w:left="1440"/>
    </w:pPr>
    <w:rPr>
      <w:rFonts w:ascii="Calibri" w:eastAsia="Times New Roman" w:hAnsi="Calibri" w:cs="Times New Roman"/>
      <w:sz w:val="20"/>
      <w:szCs w:val="20"/>
      <w:lang w:eastAsia="es-ES"/>
    </w:rPr>
  </w:style>
  <w:style w:type="paragraph" w:styleId="TDC9">
    <w:name w:val="toc 9"/>
    <w:basedOn w:val="Normal"/>
    <w:next w:val="Normal"/>
    <w:autoRedefine/>
    <w:uiPriority w:val="39"/>
    <w:pPr>
      <w:spacing w:after="0" w:line="240" w:lineRule="auto"/>
      <w:ind w:left="1680"/>
    </w:pPr>
    <w:rPr>
      <w:rFonts w:ascii="Calibri" w:eastAsia="Times New Roman" w:hAnsi="Calibri" w:cs="Times New Roman"/>
      <w:sz w:val="20"/>
      <w:szCs w:val="20"/>
      <w:lang w:eastAsia="es-ES"/>
    </w:rPr>
  </w:style>
  <w:style w:type="paragraph" w:styleId="ndice1">
    <w:name w:val="index 1"/>
    <w:basedOn w:val="Normal"/>
    <w:next w:val="Normal"/>
    <w:autoRedefine/>
    <w:uiPriority w:val="99"/>
    <w:pPr>
      <w:spacing w:after="0" w:line="240" w:lineRule="auto"/>
      <w:ind w:left="240" w:hanging="240"/>
    </w:pPr>
    <w:rPr>
      <w:rFonts w:ascii="Times" w:eastAsia="Times New Roman" w:hAnsi="Times" w:cs="Times New Roman"/>
      <w:sz w:val="24"/>
      <w:szCs w:val="20"/>
      <w:lang w:eastAsia="es-ES"/>
    </w:rPr>
  </w:style>
  <w:style w:type="paragraph" w:customStyle="1" w:styleId="estilo250">
    <w:name w:val="estilo25"/>
    <w:basedOn w:val="Normal"/>
    <w:uiPriority w:val="99"/>
    <w:pPr>
      <w:spacing w:before="100" w:beforeAutospacing="1" w:after="100" w:afterAutospacing="1" w:line="240" w:lineRule="auto"/>
    </w:pPr>
    <w:rPr>
      <w:rFonts w:ascii="Times New Roman" w:eastAsia="Times New Roman" w:hAnsi="Times New Roman" w:cs="Times New Roman"/>
      <w:color w:val="3E3D9A"/>
      <w:sz w:val="15"/>
      <w:szCs w:val="15"/>
      <w:lang w:val="es-MX" w:eastAsia="es-ES"/>
    </w:rPr>
  </w:style>
  <w:style w:type="table" w:customStyle="1" w:styleId="Cuadrculadetablaclara1">
    <w:name w:val="Cuadrícula de tabla clara1"/>
    <w:basedOn w:val="Tablanormal"/>
    <w:uiPriority w:val="40"/>
    <w:pPr>
      <w:spacing w:after="0" w:line="240" w:lineRule="auto"/>
    </w:pPr>
    <w:rPr>
      <w:rFonts w:eastAsiaTheme="minorEastAsia"/>
      <w:lang w:val="es-AR"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ennegrita">
    <w:name w:val="Strong"/>
    <w:basedOn w:val="Fuentedeprrafopredeter"/>
    <w:uiPriority w:val="99"/>
    <w:qFormat/>
    <w:rPr>
      <w:b/>
      <w:bCs/>
    </w:rPr>
  </w:style>
  <w:style w:type="character" w:customStyle="1" w:styleId="estilo5a">
    <w:name w:val="estilo5"/>
    <w:basedOn w:val="Fuentedeprrafopredeter"/>
    <w:uiPriority w:val="99"/>
  </w:style>
  <w:style w:type="table" w:customStyle="1" w:styleId="Tablaconcuadrcula11">
    <w:name w:val="Tabla con cuadrícula11"/>
    <w:basedOn w:val="Tablanormal"/>
    <w:next w:val="Tablaconcuadrcula"/>
    <w:uiPriority w:val="39"/>
    <w:pPr>
      <w:spacing w:after="120" w:line="300" w:lineRule="auto"/>
      <w:jc w:val="both"/>
    </w:pPr>
    <w:rPr>
      <w:rFonts w:ascii="Calibri" w:eastAsia="Times"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pPr>
      <w:spacing w:after="0" w:line="240" w:lineRule="auto"/>
    </w:pPr>
    <w:rPr>
      <w:rFonts w:ascii="Calibri" w:eastAsia="Times" w:hAnsi="Calibri" w:cs="Calibri"/>
      <w:color w:val="31849B"/>
      <w:sz w:val="20"/>
      <w:szCs w:val="20"/>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pPr>
      <w:spacing w:after="0" w:line="240" w:lineRule="auto"/>
    </w:pPr>
    <w:rPr>
      <w:rFonts w:ascii="Times" w:eastAsia="Times" w:hAnsi="Times" w:cs="Times"/>
      <w:sz w:val="20"/>
      <w:szCs w:val="20"/>
      <w:lang w:eastAsia="es-ES"/>
    </w:rPr>
  </w:style>
  <w:style w:type="character" w:customStyle="1" w:styleId="TextonotaalfinalCar">
    <w:name w:val="Texto nota al final Car"/>
    <w:basedOn w:val="Fuentedeprrafopredeter"/>
    <w:link w:val="Textonotaalfinal"/>
    <w:uiPriority w:val="99"/>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Pr>
      <w:vertAlign w:val="superscript"/>
    </w:rPr>
  </w:style>
  <w:style w:type="character" w:customStyle="1" w:styleId="SinespaciadoCar">
    <w:name w:val="Sin espaciado Car"/>
    <w:basedOn w:val="Fuentedeprrafopredeter"/>
    <w:link w:val="Sinespaciado"/>
    <w:uiPriority w:val="1"/>
    <w:rPr>
      <w:rFonts w:ascii="Tw Cen MT" w:eastAsia="Times New Roman" w:hAnsi="Tw Cen MT" w:cs="Tw Cen MT"/>
      <w:lang w:val="es-ES" w:eastAsia="es-ES"/>
    </w:rPr>
  </w:style>
  <w:style w:type="table" w:styleId="Listavistosa-nfasis4">
    <w:name w:val="Colorful List Accent 4"/>
    <w:basedOn w:val="Tablanormal"/>
    <w:uiPriority w:val="72"/>
    <w:pPr>
      <w:spacing w:after="0" w:line="240" w:lineRule="auto"/>
      <w:ind w:right="289"/>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Sombreadomedio2-nfasis3">
    <w:name w:val="Medium Shading 2 Accent 3"/>
    <w:basedOn w:val="Tablanormal"/>
    <w:uiPriority w:val="64"/>
    <w:pPr>
      <w:spacing w:after="0" w:line="240" w:lineRule="auto"/>
      <w:ind w:right="289"/>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link w:val="Listavistosa-nfasis1Car"/>
    <w:uiPriority w:val="34"/>
    <w:qFormat/>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es-MX" w:eastAsia="es-ES"/>
    </w:rPr>
  </w:style>
  <w:style w:type="paragraph" w:customStyle="1" w:styleId="Sombreadovistoso-nfasis11">
    <w:name w:val="Sombreado vistoso - Énfasis 11"/>
    <w:hidden/>
    <w:uiPriority w:val="99"/>
    <w:semiHidden/>
    <w:pPr>
      <w:spacing w:after="0" w:line="240" w:lineRule="auto"/>
    </w:pPr>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pPr>
      <w:keepNext w:val="0"/>
      <w:pageBreakBefore/>
      <w:widowControl w:val="0"/>
      <w:overflowPunct w:val="0"/>
      <w:autoSpaceDE w:val="0"/>
      <w:autoSpaceDN w:val="0"/>
      <w:adjustRightInd w:val="0"/>
      <w:spacing w:before="480" w:line="276" w:lineRule="auto"/>
      <w:textAlignment w:val="baseline"/>
      <w:outlineLvl w:val="9"/>
    </w:pPr>
    <w:rPr>
      <w:rFonts w:ascii="Cambria" w:eastAsia="Times New Roman" w:hAnsi="Cambria" w:cs="Cambria"/>
      <w:bCs/>
      <w:color w:val="365F91"/>
      <w:szCs w:val="28"/>
      <w:lang w:val="es-MX"/>
    </w:rPr>
  </w:style>
  <w:style w:type="table" w:styleId="Cuadrculamedia3-nfasis5">
    <w:name w:val="Medium Grid 3 Accent 5"/>
    <w:basedOn w:val="Tablanormal"/>
    <w:uiPriority w:val="60"/>
    <w:pPr>
      <w:spacing w:after="0" w:line="240" w:lineRule="auto"/>
    </w:pPr>
    <w:rPr>
      <w:rFonts w:ascii="Calibri" w:eastAsia="Times" w:hAnsi="Calibri" w:cs="Calibri"/>
      <w:color w:val="31849B"/>
      <w:sz w:val="20"/>
      <w:szCs w:val="20"/>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pPr>
      <w:spacing w:after="0" w:line="240" w:lineRule="auto"/>
    </w:pPr>
    <w:rPr>
      <w:rFonts w:ascii="Calibri" w:eastAsia="MS Mincho" w:hAnsi="Calibri" w:cs="Times New Roman"/>
      <w:lang w:val="es-ES"/>
    </w:rPr>
  </w:style>
  <w:style w:type="table" w:styleId="Cuadrculamedia1-nfasis5">
    <w:name w:val="Medium Grid 1 Accent 5"/>
    <w:basedOn w:val="Tablanormal"/>
    <w:uiPriority w:val="72"/>
    <w:pPr>
      <w:spacing w:after="0" w:line="240" w:lineRule="auto"/>
      <w:ind w:right="289"/>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pPr>
      <w:spacing w:after="0" w:line="240" w:lineRule="auto"/>
      <w:ind w:right="289"/>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pPr>
      <w:numPr>
        <w:numId w:val="22"/>
      </w:numPr>
    </w:pPr>
  </w:style>
  <w:style w:type="numbering" w:customStyle="1" w:styleId="Estilo23">
    <w:name w:val="Estilo23"/>
    <w:uiPriority w:val="99"/>
    <w:pPr>
      <w:numPr>
        <w:numId w:val="23"/>
      </w:numPr>
    </w:pPr>
  </w:style>
  <w:style w:type="numbering" w:customStyle="1" w:styleId="Estilo24">
    <w:name w:val="Estilo24"/>
    <w:uiPriority w:val="99"/>
    <w:pPr>
      <w:numPr>
        <w:numId w:val="24"/>
      </w:numPr>
    </w:pPr>
  </w:style>
  <w:style w:type="numbering" w:customStyle="1" w:styleId="Estilo25">
    <w:name w:val="Estilo25"/>
    <w:uiPriority w:val="99"/>
    <w:pPr>
      <w:numPr>
        <w:numId w:val="25"/>
      </w:numPr>
    </w:pPr>
  </w:style>
  <w:style w:type="numbering" w:customStyle="1" w:styleId="Estilo26">
    <w:name w:val="Estilo26"/>
    <w:uiPriority w:val="99"/>
    <w:pPr>
      <w:numPr>
        <w:numId w:val="26"/>
      </w:numPr>
    </w:pPr>
  </w:style>
  <w:style w:type="numbering" w:customStyle="1" w:styleId="Estilo27">
    <w:name w:val="Estilo27"/>
    <w:uiPriority w:val="99"/>
    <w:pPr>
      <w:numPr>
        <w:numId w:val="27"/>
      </w:numPr>
    </w:pPr>
  </w:style>
  <w:style w:type="numbering" w:customStyle="1" w:styleId="Estilo28">
    <w:name w:val="Estilo28"/>
    <w:uiPriority w:val="99"/>
    <w:pPr>
      <w:numPr>
        <w:numId w:val="28"/>
      </w:numPr>
    </w:pPr>
  </w:style>
  <w:style w:type="numbering" w:customStyle="1" w:styleId="Estilo29">
    <w:name w:val="Estilo29"/>
    <w:uiPriority w:val="99"/>
    <w:pPr>
      <w:numPr>
        <w:numId w:val="29"/>
      </w:numPr>
    </w:pPr>
  </w:style>
  <w:style w:type="numbering" w:customStyle="1" w:styleId="Estilo30">
    <w:name w:val="Estilo30"/>
    <w:uiPriority w:val="99"/>
    <w:pPr>
      <w:numPr>
        <w:numId w:val="30"/>
      </w:numPr>
    </w:pPr>
  </w:style>
  <w:style w:type="numbering" w:customStyle="1" w:styleId="Estilo31">
    <w:name w:val="Estilo31"/>
    <w:uiPriority w:val="99"/>
    <w:pPr>
      <w:numPr>
        <w:numId w:val="31"/>
      </w:numPr>
    </w:pPr>
  </w:style>
  <w:style w:type="numbering" w:customStyle="1" w:styleId="Estilo32">
    <w:name w:val="Estilo32"/>
    <w:uiPriority w:val="99"/>
    <w:pPr>
      <w:numPr>
        <w:numId w:val="32"/>
      </w:numPr>
    </w:pPr>
  </w:style>
  <w:style w:type="numbering" w:customStyle="1" w:styleId="Estilo33">
    <w:name w:val="Estilo33"/>
    <w:uiPriority w:val="99"/>
    <w:pPr>
      <w:numPr>
        <w:numId w:val="33"/>
      </w:numPr>
    </w:pPr>
  </w:style>
  <w:style w:type="numbering" w:customStyle="1" w:styleId="Estilo34">
    <w:name w:val="Estilo34"/>
    <w:uiPriority w:val="99"/>
    <w:pPr>
      <w:numPr>
        <w:numId w:val="34"/>
      </w:numPr>
    </w:pPr>
  </w:style>
  <w:style w:type="numbering" w:customStyle="1" w:styleId="Estilo35">
    <w:name w:val="Estilo35"/>
    <w:uiPriority w:val="99"/>
    <w:pPr>
      <w:numPr>
        <w:numId w:val="35"/>
      </w:numPr>
    </w:pPr>
  </w:style>
  <w:style w:type="numbering" w:customStyle="1" w:styleId="Estilo36">
    <w:name w:val="Estilo36"/>
    <w:uiPriority w:val="99"/>
    <w:pPr>
      <w:numPr>
        <w:numId w:val="36"/>
      </w:numPr>
    </w:pPr>
  </w:style>
  <w:style w:type="numbering" w:customStyle="1" w:styleId="Estilo37">
    <w:name w:val="Estilo37"/>
    <w:uiPriority w:val="99"/>
    <w:pPr>
      <w:numPr>
        <w:numId w:val="37"/>
      </w:numPr>
    </w:pPr>
  </w:style>
  <w:style w:type="numbering" w:customStyle="1" w:styleId="Estilo38">
    <w:name w:val="Estilo38"/>
    <w:uiPriority w:val="99"/>
    <w:pPr>
      <w:numPr>
        <w:numId w:val="38"/>
      </w:numPr>
    </w:pPr>
  </w:style>
  <w:style w:type="numbering" w:customStyle="1" w:styleId="Estilo39">
    <w:name w:val="Estilo39"/>
    <w:uiPriority w:val="99"/>
    <w:pPr>
      <w:numPr>
        <w:numId w:val="39"/>
      </w:numPr>
    </w:pPr>
  </w:style>
  <w:style w:type="numbering" w:customStyle="1" w:styleId="Estilo40">
    <w:name w:val="Estilo40"/>
    <w:uiPriority w:val="99"/>
    <w:pPr>
      <w:numPr>
        <w:numId w:val="40"/>
      </w:numPr>
    </w:pPr>
  </w:style>
  <w:style w:type="numbering" w:customStyle="1" w:styleId="Estilo41">
    <w:name w:val="Estilo41"/>
    <w:uiPriority w:val="99"/>
    <w:pPr>
      <w:numPr>
        <w:numId w:val="41"/>
      </w:numPr>
    </w:pPr>
  </w:style>
  <w:style w:type="numbering" w:customStyle="1" w:styleId="Estilo42">
    <w:name w:val="Estilo42"/>
    <w:uiPriority w:val="99"/>
    <w:pPr>
      <w:numPr>
        <w:numId w:val="42"/>
      </w:numPr>
    </w:pPr>
  </w:style>
  <w:style w:type="numbering" w:customStyle="1" w:styleId="Estilo43">
    <w:name w:val="Estilo43"/>
    <w:uiPriority w:val="99"/>
    <w:pPr>
      <w:numPr>
        <w:numId w:val="43"/>
      </w:numPr>
    </w:pPr>
  </w:style>
  <w:style w:type="numbering" w:customStyle="1" w:styleId="Estilo44">
    <w:name w:val="Estilo44"/>
    <w:uiPriority w:val="99"/>
    <w:pPr>
      <w:numPr>
        <w:numId w:val="44"/>
      </w:numPr>
    </w:pPr>
  </w:style>
  <w:style w:type="numbering" w:customStyle="1" w:styleId="Estilo45">
    <w:name w:val="Estilo45"/>
    <w:uiPriority w:val="99"/>
    <w:pPr>
      <w:numPr>
        <w:numId w:val="45"/>
      </w:numPr>
    </w:pPr>
  </w:style>
  <w:style w:type="numbering" w:customStyle="1" w:styleId="Estilo46">
    <w:name w:val="Estilo46"/>
    <w:uiPriority w:val="99"/>
    <w:pPr>
      <w:numPr>
        <w:numId w:val="46"/>
      </w:numPr>
    </w:pPr>
  </w:style>
  <w:style w:type="numbering" w:customStyle="1" w:styleId="Estilo47">
    <w:name w:val="Estilo47"/>
    <w:uiPriority w:val="99"/>
    <w:pPr>
      <w:numPr>
        <w:numId w:val="47"/>
      </w:numPr>
    </w:pPr>
  </w:style>
  <w:style w:type="numbering" w:customStyle="1" w:styleId="Estilo48">
    <w:name w:val="Estilo48"/>
    <w:uiPriority w:val="99"/>
    <w:pPr>
      <w:numPr>
        <w:numId w:val="48"/>
      </w:numPr>
    </w:pPr>
  </w:style>
  <w:style w:type="numbering" w:customStyle="1" w:styleId="Estilo49">
    <w:name w:val="Estilo49"/>
    <w:uiPriority w:val="99"/>
    <w:pPr>
      <w:numPr>
        <w:numId w:val="49"/>
      </w:numPr>
    </w:pPr>
  </w:style>
  <w:style w:type="numbering" w:customStyle="1" w:styleId="Estilo50">
    <w:name w:val="Estilo50"/>
    <w:uiPriority w:val="99"/>
    <w:pPr>
      <w:numPr>
        <w:numId w:val="50"/>
      </w:numPr>
    </w:pPr>
  </w:style>
  <w:style w:type="numbering" w:customStyle="1" w:styleId="Estilo51">
    <w:name w:val="Estilo51"/>
    <w:uiPriority w:val="99"/>
    <w:pPr>
      <w:numPr>
        <w:numId w:val="51"/>
      </w:numPr>
    </w:pPr>
  </w:style>
  <w:style w:type="numbering" w:customStyle="1" w:styleId="Estilo52">
    <w:name w:val="Estilo52"/>
    <w:uiPriority w:val="99"/>
    <w:pPr>
      <w:numPr>
        <w:numId w:val="52"/>
      </w:numPr>
    </w:pPr>
  </w:style>
  <w:style w:type="numbering" w:customStyle="1" w:styleId="Estilo53">
    <w:name w:val="Estilo53"/>
    <w:uiPriority w:val="99"/>
    <w:pPr>
      <w:numPr>
        <w:numId w:val="53"/>
      </w:numPr>
    </w:pPr>
  </w:style>
  <w:style w:type="numbering" w:customStyle="1" w:styleId="Estilo54">
    <w:name w:val="Estilo54"/>
    <w:uiPriority w:val="99"/>
    <w:pPr>
      <w:numPr>
        <w:numId w:val="54"/>
      </w:numPr>
    </w:pPr>
  </w:style>
  <w:style w:type="numbering" w:customStyle="1" w:styleId="Estilo55">
    <w:name w:val="Estilo55"/>
    <w:uiPriority w:val="99"/>
    <w:pPr>
      <w:numPr>
        <w:numId w:val="55"/>
      </w:numPr>
    </w:pPr>
  </w:style>
  <w:style w:type="numbering" w:customStyle="1" w:styleId="Estilo56">
    <w:name w:val="Estilo56"/>
    <w:uiPriority w:val="99"/>
    <w:pPr>
      <w:numPr>
        <w:numId w:val="56"/>
      </w:numPr>
    </w:pPr>
  </w:style>
  <w:style w:type="numbering" w:customStyle="1" w:styleId="Estilo57">
    <w:name w:val="Estilo57"/>
    <w:uiPriority w:val="99"/>
    <w:pPr>
      <w:numPr>
        <w:numId w:val="57"/>
      </w:numPr>
    </w:pPr>
  </w:style>
  <w:style w:type="numbering" w:customStyle="1" w:styleId="Estilo58">
    <w:name w:val="Estilo58"/>
    <w:uiPriority w:val="99"/>
    <w:pPr>
      <w:numPr>
        <w:numId w:val="58"/>
      </w:numPr>
    </w:pPr>
  </w:style>
  <w:style w:type="numbering" w:customStyle="1" w:styleId="Estilo59">
    <w:name w:val="Estilo59"/>
    <w:uiPriority w:val="99"/>
    <w:pPr>
      <w:numPr>
        <w:numId w:val="59"/>
      </w:numPr>
    </w:pPr>
  </w:style>
  <w:style w:type="numbering" w:customStyle="1" w:styleId="Estilo60">
    <w:name w:val="Estilo60"/>
    <w:uiPriority w:val="99"/>
    <w:pPr>
      <w:numPr>
        <w:numId w:val="60"/>
      </w:numPr>
    </w:pPr>
  </w:style>
  <w:style w:type="numbering" w:customStyle="1" w:styleId="Estilo61">
    <w:name w:val="Estilo61"/>
    <w:uiPriority w:val="99"/>
    <w:pPr>
      <w:numPr>
        <w:numId w:val="61"/>
      </w:numPr>
    </w:pPr>
  </w:style>
  <w:style w:type="numbering" w:customStyle="1" w:styleId="Estilo62">
    <w:name w:val="Estilo62"/>
    <w:uiPriority w:val="99"/>
    <w:pPr>
      <w:numPr>
        <w:numId w:val="62"/>
      </w:numPr>
    </w:pPr>
  </w:style>
  <w:style w:type="numbering" w:customStyle="1" w:styleId="Estilo63">
    <w:name w:val="Estilo63"/>
    <w:uiPriority w:val="99"/>
    <w:pPr>
      <w:numPr>
        <w:numId w:val="63"/>
      </w:numPr>
    </w:pPr>
  </w:style>
  <w:style w:type="numbering" w:customStyle="1" w:styleId="Estilo64">
    <w:name w:val="Estilo64"/>
    <w:uiPriority w:val="99"/>
    <w:pPr>
      <w:numPr>
        <w:numId w:val="64"/>
      </w:numPr>
    </w:pPr>
  </w:style>
  <w:style w:type="numbering" w:customStyle="1" w:styleId="Estilo65">
    <w:name w:val="Estilo65"/>
    <w:uiPriority w:val="99"/>
    <w:pPr>
      <w:numPr>
        <w:numId w:val="65"/>
      </w:numPr>
    </w:pPr>
  </w:style>
  <w:style w:type="numbering" w:customStyle="1" w:styleId="Estilo66">
    <w:name w:val="Estilo66"/>
    <w:uiPriority w:val="99"/>
    <w:pPr>
      <w:numPr>
        <w:numId w:val="66"/>
      </w:numPr>
    </w:pPr>
  </w:style>
  <w:style w:type="numbering" w:customStyle="1" w:styleId="Estilo67">
    <w:name w:val="Estilo67"/>
    <w:uiPriority w:val="99"/>
    <w:pPr>
      <w:numPr>
        <w:numId w:val="67"/>
      </w:numPr>
    </w:pPr>
  </w:style>
  <w:style w:type="numbering" w:customStyle="1" w:styleId="Estilo68">
    <w:name w:val="Estilo68"/>
    <w:uiPriority w:val="99"/>
    <w:pPr>
      <w:numPr>
        <w:numId w:val="68"/>
      </w:numPr>
    </w:pPr>
  </w:style>
  <w:style w:type="numbering" w:customStyle="1" w:styleId="Estilo69">
    <w:name w:val="Estilo69"/>
    <w:uiPriority w:val="99"/>
    <w:pPr>
      <w:numPr>
        <w:numId w:val="69"/>
      </w:numPr>
    </w:pPr>
  </w:style>
  <w:style w:type="numbering" w:customStyle="1" w:styleId="Estilo70">
    <w:name w:val="Estilo70"/>
    <w:uiPriority w:val="99"/>
    <w:pPr>
      <w:numPr>
        <w:numId w:val="70"/>
      </w:numPr>
    </w:pPr>
  </w:style>
  <w:style w:type="numbering" w:customStyle="1" w:styleId="Estilo71">
    <w:name w:val="Estilo71"/>
    <w:uiPriority w:val="99"/>
    <w:pPr>
      <w:numPr>
        <w:numId w:val="71"/>
      </w:numPr>
    </w:pPr>
  </w:style>
  <w:style w:type="numbering" w:customStyle="1" w:styleId="Estilo72">
    <w:name w:val="Estilo72"/>
    <w:uiPriority w:val="99"/>
    <w:pPr>
      <w:numPr>
        <w:numId w:val="72"/>
      </w:numPr>
    </w:pPr>
  </w:style>
  <w:style w:type="numbering" w:customStyle="1" w:styleId="Estilo73">
    <w:name w:val="Estilo73"/>
    <w:uiPriority w:val="99"/>
    <w:pPr>
      <w:numPr>
        <w:numId w:val="73"/>
      </w:numPr>
    </w:pPr>
  </w:style>
  <w:style w:type="numbering" w:customStyle="1" w:styleId="Estilo74">
    <w:name w:val="Estilo74"/>
    <w:uiPriority w:val="99"/>
    <w:pPr>
      <w:numPr>
        <w:numId w:val="74"/>
      </w:numPr>
    </w:pPr>
  </w:style>
  <w:style w:type="numbering" w:customStyle="1" w:styleId="Estilo75">
    <w:name w:val="Estilo75"/>
    <w:uiPriority w:val="99"/>
    <w:pPr>
      <w:numPr>
        <w:numId w:val="75"/>
      </w:numPr>
    </w:pPr>
  </w:style>
  <w:style w:type="numbering" w:customStyle="1" w:styleId="Estilo76">
    <w:name w:val="Estilo76"/>
    <w:uiPriority w:val="99"/>
    <w:pPr>
      <w:numPr>
        <w:numId w:val="76"/>
      </w:numPr>
    </w:pPr>
  </w:style>
  <w:style w:type="numbering" w:customStyle="1" w:styleId="Estilo77">
    <w:name w:val="Estilo77"/>
    <w:uiPriority w:val="99"/>
    <w:pPr>
      <w:numPr>
        <w:numId w:val="77"/>
      </w:numPr>
    </w:pPr>
  </w:style>
  <w:style w:type="numbering" w:customStyle="1" w:styleId="Estilo78">
    <w:name w:val="Estilo78"/>
    <w:uiPriority w:val="99"/>
    <w:pPr>
      <w:numPr>
        <w:numId w:val="78"/>
      </w:numPr>
    </w:pPr>
  </w:style>
  <w:style w:type="numbering" w:customStyle="1" w:styleId="Estilo79">
    <w:name w:val="Estilo79"/>
    <w:uiPriority w:val="99"/>
    <w:pPr>
      <w:numPr>
        <w:numId w:val="79"/>
      </w:numPr>
    </w:pPr>
  </w:style>
  <w:style w:type="numbering" w:customStyle="1" w:styleId="Estilo80">
    <w:name w:val="Estilo80"/>
    <w:uiPriority w:val="99"/>
    <w:pPr>
      <w:numPr>
        <w:numId w:val="80"/>
      </w:numPr>
    </w:pPr>
  </w:style>
  <w:style w:type="numbering" w:customStyle="1" w:styleId="Estilo81">
    <w:name w:val="Estilo81"/>
    <w:uiPriority w:val="99"/>
    <w:pPr>
      <w:numPr>
        <w:numId w:val="81"/>
      </w:numPr>
    </w:pPr>
  </w:style>
  <w:style w:type="numbering" w:customStyle="1" w:styleId="Estilo82">
    <w:name w:val="Estilo82"/>
    <w:uiPriority w:val="99"/>
    <w:pPr>
      <w:numPr>
        <w:numId w:val="82"/>
      </w:numPr>
    </w:pPr>
  </w:style>
  <w:style w:type="numbering" w:customStyle="1" w:styleId="Estilo83">
    <w:name w:val="Estilo83"/>
    <w:uiPriority w:val="99"/>
    <w:pPr>
      <w:numPr>
        <w:numId w:val="83"/>
      </w:numPr>
    </w:pPr>
  </w:style>
  <w:style w:type="numbering" w:customStyle="1" w:styleId="Estilo84">
    <w:name w:val="Estilo84"/>
    <w:uiPriority w:val="99"/>
    <w:pPr>
      <w:numPr>
        <w:numId w:val="84"/>
      </w:numPr>
    </w:pPr>
  </w:style>
  <w:style w:type="numbering" w:customStyle="1" w:styleId="Estilo85">
    <w:name w:val="Estilo85"/>
    <w:uiPriority w:val="99"/>
    <w:pPr>
      <w:numPr>
        <w:numId w:val="85"/>
      </w:numPr>
    </w:pPr>
  </w:style>
  <w:style w:type="numbering" w:customStyle="1" w:styleId="Estilo86">
    <w:name w:val="Estilo86"/>
    <w:uiPriority w:val="99"/>
    <w:pPr>
      <w:numPr>
        <w:numId w:val="86"/>
      </w:numPr>
    </w:pPr>
  </w:style>
  <w:style w:type="numbering" w:customStyle="1" w:styleId="Estilo87">
    <w:name w:val="Estilo87"/>
    <w:uiPriority w:val="99"/>
    <w:pPr>
      <w:numPr>
        <w:numId w:val="87"/>
      </w:numPr>
    </w:pPr>
  </w:style>
  <w:style w:type="numbering" w:customStyle="1" w:styleId="Estilo88">
    <w:name w:val="Estilo88"/>
    <w:uiPriority w:val="99"/>
    <w:pPr>
      <w:numPr>
        <w:numId w:val="88"/>
      </w:numPr>
    </w:pPr>
  </w:style>
  <w:style w:type="numbering" w:customStyle="1" w:styleId="Estilo89">
    <w:name w:val="Estilo89"/>
    <w:uiPriority w:val="99"/>
    <w:pPr>
      <w:numPr>
        <w:numId w:val="89"/>
      </w:numPr>
    </w:pPr>
  </w:style>
  <w:style w:type="numbering" w:customStyle="1" w:styleId="Estilo90">
    <w:name w:val="Estilo90"/>
    <w:uiPriority w:val="99"/>
    <w:pPr>
      <w:numPr>
        <w:numId w:val="90"/>
      </w:numPr>
    </w:pPr>
  </w:style>
  <w:style w:type="numbering" w:customStyle="1" w:styleId="Estilo91">
    <w:name w:val="Estilo91"/>
    <w:uiPriority w:val="99"/>
    <w:pPr>
      <w:numPr>
        <w:numId w:val="91"/>
      </w:numPr>
    </w:pPr>
  </w:style>
  <w:style w:type="numbering" w:customStyle="1" w:styleId="Estilo92">
    <w:name w:val="Estilo92"/>
    <w:uiPriority w:val="99"/>
    <w:pPr>
      <w:numPr>
        <w:numId w:val="92"/>
      </w:numPr>
    </w:pPr>
  </w:style>
  <w:style w:type="numbering" w:customStyle="1" w:styleId="Estilo93">
    <w:name w:val="Estilo93"/>
    <w:uiPriority w:val="99"/>
    <w:pPr>
      <w:numPr>
        <w:numId w:val="93"/>
      </w:numPr>
    </w:pPr>
  </w:style>
  <w:style w:type="numbering" w:customStyle="1" w:styleId="Estilo94">
    <w:name w:val="Estilo94"/>
    <w:uiPriority w:val="99"/>
    <w:pPr>
      <w:numPr>
        <w:numId w:val="94"/>
      </w:numPr>
    </w:pPr>
  </w:style>
  <w:style w:type="character" w:customStyle="1" w:styleId="Listavistosa-nfasis1Car">
    <w:name w:val="Lista vistosa - Énfasis 1 Car"/>
    <w:link w:val="Listavistosa-nfasis11"/>
    <w:uiPriority w:val="34"/>
    <w:locked/>
    <w:rPr>
      <w:rFonts w:ascii="Times New Roman" w:eastAsia="Times New Roman" w:hAnsi="Times New Roman" w:cs="Times New Roman"/>
      <w:sz w:val="20"/>
      <w:szCs w:val="20"/>
      <w:lang w:eastAsia="es-ES"/>
    </w:rPr>
  </w:style>
  <w:style w:type="paragraph" w:customStyle="1" w:styleId="Textocuadro">
    <w:name w:val="Texto cuadro"/>
    <w:basedOn w:val="Normal"/>
    <w:next w:val="Normal"/>
    <w:uiPriority w:val="99"/>
    <w:pPr>
      <w:spacing w:before="20" w:after="0" w:line="240" w:lineRule="auto"/>
    </w:pPr>
    <w:rPr>
      <w:rFonts w:ascii="Soberana Sans" w:eastAsia="Times New Roman" w:hAnsi="Soberana Sans" w:cs="Times New Roman"/>
      <w:sz w:val="12"/>
      <w:szCs w:val="20"/>
      <w:lang w:val="es-ES"/>
    </w:rPr>
  </w:style>
  <w:style w:type="character" w:customStyle="1" w:styleId="highlight">
    <w:name w:val="highlight"/>
    <w:basedOn w:val="Fuentedeprrafopredeter"/>
  </w:style>
  <w:style w:type="character" w:customStyle="1" w:styleId="hscoswrapper">
    <w:name w:val="hs_cos_wrapper"/>
    <w:basedOn w:val="Fuentedeprrafopredeter"/>
  </w:style>
  <w:style w:type="numbering" w:customStyle="1" w:styleId="Estilo95">
    <w:name w:val="Estilo95"/>
    <w:uiPriority w:val="99"/>
    <w:pPr>
      <w:numPr>
        <w:numId w:val="95"/>
      </w:numPr>
    </w:pPr>
  </w:style>
  <w:style w:type="numbering" w:customStyle="1" w:styleId="Estilo96">
    <w:name w:val="Estilo96"/>
    <w:uiPriority w:val="99"/>
    <w:pPr>
      <w:numPr>
        <w:numId w:val="96"/>
      </w:numPr>
    </w:pPr>
  </w:style>
  <w:style w:type="numbering" w:customStyle="1" w:styleId="Estilo97">
    <w:name w:val="Estilo97"/>
    <w:uiPriority w:val="99"/>
    <w:pPr>
      <w:numPr>
        <w:numId w:val="97"/>
      </w:numPr>
    </w:pPr>
  </w:style>
  <w:style w:type="numbering" w:customStyle="1" w:styleId="Estilo98">
    <w:name w:val="Estilo98"/>
    <w:uiPriority w:val="99"/>
    <w:pPr>
      <w:numPr>
        <w:numId w:val="98"/>
      </w:numPr>
    </w:pPr>
  </w:style>
  <w:style w:type="numbering" w:customStyle="1" w:styleId="Estilo99">
    <w:name w:val="Estilo99"/>
    <w:uiPriority w:val="99"/>
    <w:pPr>
      <w:numPr>
        <w:numId w:val="99"/>
      </w:numPr>
    </w:pPr>
  </w:style>
  <w:style w:type="numbering" w:customStyle="1" w:styleId="Estilo100">
    <w:name w:val="Estilo100"/>
    <w:uiPriority w:val="99"/>
    <w:pPr>
      <w:numPr>
        <w:numId w:val="100"/>
      </w:numPr>
    </w:pPr>
  </w:style>
  <w:style w:type="numbering" w:customStyle="1" w:styleId="Estilo101">
    <w:name w:val="Estilo101"/>
    <w:uiPriority w:val="99"/>
    <w:pPr>
      <w:numPr>
        <w:numId w:val="101"/>
      </w:numPr>
    </w:pPr>
  </w:style>
  <w:style w:type="numbering" w:customStyle="1" w:styleId="Estilo102">
    <w:name w:val="Estilo102"/>
    <w:uiPriority w:val="99"/>
    <w:pPr>
      <w:numPr>
        <w:numId w:val="102"/>
      </w:numPr>
    </w:pPr>
  </w:style>
  <w:style w:type="numbering" w:customStyle="1" w:styleId="Estilo103">
    <w:name w:val="Estilo103"/>
    <w:uiPriority w:val="99"/>
    <w:pPr>
      <w:numPr>
        <w:numId w:val="103"/>
      </w:numPr>
    </w:pPr>
  </w:style>
  <w:style w:type="numbering" w:customStyle="1" w:styleId="Estilo104">
    <w:name w:val="Estilo104"/>
    <w:uiPriority w:val="99"/>
    <w:pPr>
      <w:numPr>
        <w:numId w:val="104"/>
      </w:numPr>
    </w:pPr>
  </w:style>
  <w:style w:type="numbering" w:customStyle="1" w:styleId="Estilo105">
    <w:name w:val="Estilo105"/>
    <w:uiPriority w:val="99"/>
    <w:pPr>
      <w:numPr>
        <w:numId w:val="105"/>
      </w:numPr>
    </w:pPr>
  </w:style>
  <w:style w:type="numbering" w:customStyle="1" w:styleId="Estilo106">
    <w:name w:val="Estilo106"/>
    <w:uiPriority w:val="99"/>
    <w:pPr>
      <w:numPr>
        <w:numId w:val="106"/>
      </w:numPr>
    </w:pPr>
  </w:style>
  <w:style w:type="numbering" w:customStyle="1" w:styleId="Estilo107">
    <w:name w:val="Estilo107"/>
    <w:uiPriority w:val="99"/>
    <w:pPr>
      <w:numPr>
        <w:numId w:val="107"/>
      </w:numPr>
    </w:pPr>
  </w:style>
  <w:style w:type="numbering" w:customStyle="1" w:styleId="Estilo108">
    <w:name w:val="Estilo108"/>
    <w:uiPriority w:val="99"/>
    <w:pPr>
      <w:numPr>
        <w:numId w:val="108"/>
      </w:numPr>
    </w:pPr>
  </w:style>
  <w:style w:type="numbering" w:customStyle="1" w:styleId="Estilo109">
    <w:name w:val="Estilo109"/>
    <w:uiPriority w:val="99"/>
    <w:pPr>
      <w:numPr>
        <w:numId w:val="109"/>
      </w:numPr>
    </w:pPr>
  </w:style>
  <w:style w:type="numbering" w:customStyle="1" w:styleId="Estilo110">
    <w:name w:val="Estilo110"/>
    <w:uiPriority w:val="99"/>
    <w:pPr>
      <w:numPr>
        <w:numId w:val="110"/>
      </w:numPr>
    </w:pPr>
  </w:style>
  <w:style w:type="numbering" w:customStyle="1" w:styleId="Estilo111">
    <w:name w:val="Estilo111"/>
    <w:uiPriority w:val="99"/>
    <w:pPr>
      <w:numPr>
        <w:numId w:val="111"/>
      </w:numPr>
    </w:pPr>
  </w:style>
  <w:style w:type="numbering" w:customStyle="1" w:styleId="Estilo112">
    <w:name w:val="Estilo112"/>
    <w:uiPriority w:val="99"/>
    <w:pPr>
      <w:numPr>
        <w:numId w:val="112"/>
      </w:numPr>
    </w:pPr>
  </w:style>
  <w:style w:type="numbering" w:customStyle="1" w:styleId="Estilo113">
    <w:name w:val="Estilo113"/>
    <w:uiPriority w:val="99"/>
    <w:pPr>
      <w:numPr>
        <w:numId w:val="113"/>
      </w:numPr>
    </w:pPr>
  </w:style>
  <w:style w:type="numbering" w:customStyle="1" w:styleId="Estilo114">
    <w:name w:val="Estilo114"/>
    <w:uiPriority w:val="99"/>
    <w:pPr>
      <w:numPr>
        <w:numId w:val="114"/>
      </w:numPr>
    </w:pPr>
  </w:style>
  <w:style w:type="numbering" w:customStyle="1" w:styleId="Estilo115">
    <w:name w:val="Estilo115"/>
    <w:uiPriority w:val="99"/>
    <w:pPr>
      <w:numPr>
        <w:numId w:val="115"/>
      </w:numPr>
    </w:pPr>
  </w:style>
  <w:style w:type="character" w:customStyle="1" w:styleId="Mencinsinresolver11">
    <w:name w:val="Mención sin resolver1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Mencinsinresolver3">
    <w:name w:val="Mención sin resolver3"/>
    <w:basedOn w:val="Fuentedeprrafopredeter"/>
    <w:uiPriority w:val="99"/>
    <w:semiHidden/>
    <w:unhideWhenUsed/>
    <w:rPr>
      <w:color w:val="605E5C"/>
      <w:shd w:val="clear" w:color="auto" w:fill="E1DFDD"/>
    </w:rPr>
  </w:style>
  <w:style w:type="numbering" w:customStyle="1" w:styleId="Listaactual1">
    <w:name w:val="Lista actual1"/>
    <w:uiPriority w:val="99"/>
    <w:pPr>
      <w:numPr>
        <w:numId w:val="116"/>
      </w:numPr>
    </w:pPr>
  </w:style>
  <w:style w:type="character" w:customStyle="1" w:styleId="fontstyle01">
    <w:name w:val="fontstyle01"/>
    <w:basedOn w:val="Fuentedeprrafopredeter"/>
    <w:rPr>
      <w:rFonts w:ascii="Arial" w:hAnsi="Arial" w:cs="Arial" w:hint="default"/>
      <w:b/>
      <w:bCs/>
      <w:i w:val="0"/>
      <w:iCs w:val="0"/>
      <w:color w:val="000000"/>
      <w:sz w:val="24"/>
      <w:szCs w:val="24"/>
    </w:rPr>
  </w:style>
  <w:style w:type="paragraph" w:styleId="ndice2">
    <w:name w:val="index 2"/>
    <w:basedOn w:val="Normal"/>
    <w:next w:val="Normal"/>
    <w:autoRedefine/>
    <w:uiPriority w:val="99"/>
    <w:unhideWhenUsed/>
    <w:pPr>
      <w:spacing w:after="0" w:line="240" w:lineRule="auto"/>
      <w:ind w:left="440" w:hanging="220"/>
    </w:pPr>
    <w:rPr>
      <w:rFonts w:eastAsiaTheme="minorEastAsia" w:cstheme="minorHAnsi"/>
      <w:sz w:val="18"/>
      <w:szCs w:val="18"/>
      <w:lang w:val="es-MX" w:eastAsia="zh-CN"/>
    </w:rPr>
  </w:style>
  <w:style w:type="paragraph" w:styleId="ndice3">
    <w:name w:val="index 3"/>
    <w:basedOn w:val="Normal"/>
    <w:next w:val="Normal"/>
    <w:autoRedefine/>
    <w:uiPriority w:val="99"/>
    <w:unhideWhenUsed/>
    <w:pPr>
      <w:spacing w:after="0" w:line="240" w:lineRule="auto"/>
      <w:ind w:left="660" w:hanging="220"/>
    </w:pPr>
    <w:rPr>
      <w:rFonts w:eastAsiaTheme="minorEastAsia" w:cstheme="minorHAnsi"/>
      <w:sz w:val="18"/>
      <w:szCs w:val="18"/>
      <w:lang w:val="es-MX" w:eastAsia="zh-CN"/>
    </w:rPr>
  </w:style>
  <w:style w:type="paragraph" w:styleId="ndice4">
    <w:name w:val="index 4"/>
    <w:basedOn w:val="Normal"/>
    <w:next w:val="Normal"/>
    <w:autoRedefine/>
    <w:uiPriority w:val="99"/>
    <w:unhideWhenUsed/>
    <w:pPr>
      <w:spacing w:after="0" w:line="240" w:lineRule="auto"/>
      <w:ind w:left="880" w:hanging="220"/>
    </w:pPr>
    <w:rPr>
      <w:rFonts w:eastAsiaTheme="minorEastAsia" w:cstheme="minorHAnsi"/>
      <w:sz w:val="18"/>
      <w:szCs w:val="18"/>
      <w:lang w:val="es-MX" w:eastAsia="zh-CN"/>
    </w:rPr>
  </w:style>
  <w:style w:type="paragraph" w:styleId="ndice5">
    <w:name w:val="index 5"/>
    <w:basedOn w:val="Normal"/>
    <w:next w:val="Normal"/>
    <w:autoRedefine/>
    <w:uiPriority w:val="99"/>
    <w:unhideWhenUsed/>
    <w:pPr>
      <w:spacing w:after="0" w:line="240" w:lineRule="auto"/>
      <w:ind w:left="1100" w:hanging="220"/>
    </w:pPr>
    <w:rPr>
      <w:rFonts w:eastAsiaTheme="minorEastAsia" w:cstheme="minorHAnsi"/>
      <w:sz w:val="18"/>
      <w:szCs w:val="18"/>
      <w:lang w:val="es-MX" w:eastAsia="zh-CN"/>
    </w:rPr>
  </w:style>
  <w:style w:type="paragraph" w:styleId="ndice6">
    <w:name w:val="index 6"/>
    <w:basedOn w:val="Normal"/>
    <w:next w:val="Normal"/>
    <w:autoRedefine/>
    <w:uiPriority w:val="99"/>
    <w:unhideWhenUsed/>
    <w:pPr>
      <w:spacing w:after="0" w:line="240" w:lineRule="auto"/>
      <w:ind w:left="1320" w:hanging="220"/>
    </w:pPr>
    <w:rPr>
      <w:rFonts w:eastAsiaTheme="minorEastAsia" w:cstheme="minorHAnsi"/>
      <w:sz w:val="18"/>
      <w:szCs w:val="18"/>
      <w:lang w:val="es-MX" w:eastAsia="zh-CN"/>
    </w:rPr>
  </w:style>
  <w:style w:type="paragraph" w:styleId="ndice7">
    <w:name w:val="index 7"/>
    <w:basedOn w:val="Normal"/>
    <w:next w:val="Normal"/>
    <w:autoRedefine/>
    <w:uiPriority w:val="99"/>
    <w:unhideWhenUsed/>
    <w:pPr>
      <w:spacing w:after="0" w:line="240" w:lineRule="auto"/>
      <w:ind w:left="1540" w:hanging="220"/>
    </w:pPr>
    <w:rPr>
      <w:rFonts w:eastAsiaTheme="minorEastAsia" w:cstheme="minorHAnsi"/>
      <w:sz w:val="18"/>
      <w:szCs w:val="18"/>
      <w:lang w:val="es-MX" w:eastAsia="zh-CN"/>
    </w:rPr>
  </w:style>
  <w:style w:type="paragraph" w:styleId="ndice8">
    <w:name w:val="index 8"/>
    <w:basedOn w:val="Normal"/>
    <w:next w:val="Normal"/>
    <w:autoRedefine/>
    <w:uiPriority w:val="99"/>
    <w:unhideWhenUsed/>
    <w:pPr>
      <w:spacing w:after="0" w:line="240" w:lineRule="auto"/>
      <w:ind w:left="1760" w:hanging="220"/>
    </w:pPr>
    <w:rPr>
      <w:rFonts w:eastAsiaTheme="minorEastAsia" w:cstheme="minorHAnsi"/>
      <w:sz w:val="18"/>
      <w:szCs w:val="18"/>
      <w:lang w:val="es-MX" w:eastAsia="zh-CN"/>
    </w:rPr>
  </w:style>
  <w:style w:type="paragraph" w:styleId="ndice9">
    <w:name w:val="index 9"/>
    <w:basedOn w:val="Normal"/>
    <w:next w:val="Normal"/>
    <w:autoRedefine/>
    <w:uiPriority w:val="99"/>
    <w:unhideWhenUsed/>
    <w:pPr>
      <w:spacing w:after="0" w:line="240" w:lineRule="auto"/>
      <w:ind w:left="1980" w:hanging="220"/>
    </w:pPr>
    <w:rPr>
      <w:rFonts w:eastAsiaTheme="minorEastAsia" w:cstheme="minorHAnsi"/>
      <w:sz w:val="18"/>
      <w:szCs w:val="18"/>
      <w:lang w:val="es-MX" w:eastAsia="zh-CN"/>
    </w:rPr>
  </w:style>
  <w:style w:type="paragraph" w:styleId="Ttulodendice">
    <w:name w:val="index heading"/>
    <w:basedOn w:val="Normal"/>
    <w:next w:val="ndice1"/>
    <w:uiPriority w:val="99"/>
    <w:unhideWhenUsed/>
    <w:pPr>
      <w:pBdr>
        <w:top w:val="single" w:sz="12" w:space="0" w:color="auto"/>
      </w:pBdr>
      <w:spacing w:before="360" w:after="240" w:line="240" w:lineRule="auto"/>
    </w:pPr>
    <w:rPr>
      <w:rFonts w:eastAsiaTheme="minorEastAsia" w:cstheme="minorHAnsi"/>
      <w:b/>
      <w:bCs/>
      <w:i/>
      <w:iCs/>
      <w:sz w:val="26"/>
      <w:szCs w:val="26"/>
      <w:lang w:val="es-MX" w:eastAsia="zh-CN"/>
    </w:rPr>
  </w:style>
  <w:style w:type="character" w:customStyle="1" w:styleId="TextonotapieCar1">
    <w:name w:val="Texto nota pie Car1"/>
    <w:aliases w:val="fn Car1,Car Car Car Car Car Car Car Car Car Car Car2,Car Car Car Car Car Car Car Car Car Car Car Car1,Car Car Car Car Car Car Car Car Car Car Car Car Car Car1"/>
    <w:basedOn w:val="Fuentedeprrafopredeter"/>
    <w:uiPriority w:val="99"/>
    <w:semiHidden/>
    <w:rPr>
      <w:sz w:val="20"/>
      <w:szCs w:val="20"/>
      <w:lang w:val="es-ES_tradnl"/>
    </w:rPr>
  </w:style>
  <w:style w:type="paragraph" w:customStyle="1" w:styleId="titulo4">
    <w:name w:val="titulo 4"/>
    <w:basedOn w:val="Ttulo3"/>
    <w:link w:val="titulo4Car"/>
    <w:qFormat/>
    <w:pPr>
      <w:ind w:left="-567" w:right="-801"/>
    </w:pPr>
    <w:rPr>
      <w:rFonts w:ascii="Arial" w:hAnsi="Arial" w:cs="Arial"/>
    </w:rPr>
  </w:style>
  <w:style w:type="character" w:customStyle="1" w:styleId="titulo4Car">
    <w:name w:val="titulo 4 Car"/>
    <w:basedOn w:val="Ttulo3Car"/>
    <w:link w:val="titulo4"/>
    <w:rPr>
      <w:rFonts w:ascii="Arial" w:eastAsiaTheme="majorEastAsia" w:hAnsi="Arial" w:cs="Arial"/>
      <w:b/>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354">
      <w:bodyDiv w:val="1"/>
      <w:marLeft w:val="0"/>
      <w:marRight w:val="0"/>
      <w:marTop w:val="0"/>
      <w:marBottom w:val="0"/>
      <w:divBdr>
        <w:top w:val="none" w:sz="0" w:space="0" w:color="auto"/>
        <w:left w:val="none" w:sz="0" w:space="0" w:color="auto"/>
        <w:bottom w:val="none" w:sz="0" w:space="0" w:color="auto"/>
        <w:right w:val="none" w:sz="0" w:space="0" w:color="auto"/>
      </w:divBdr>
    </w:div>
    <w:div w:id="28075105">
      <w:bodyDiv w:val="1"/>
      <w:marLeft w:val="0"/>
      <w:marRight w:val="0"/>
      <w:marTop w:val="0"/>
      <w:marBottom w:val="0"/>
      <w:divBdr>
        <w:top w:val="none" w:sz="0" w:space="0" w:color="auto"/>
        <w:left w:val="none" w:sz="0" w:space="0" w:color="auto"/>
        <w:bottom w:val="none" w:sz="0" w:space="0" w:color="auto"/>
        <w:right w:val="none" w:sz="0" w:space="0" w:color="auto"/>
      </w:divBdr>
    </w:div>
    <w:div w:id="105973651">
      <w:bodyDiv w:val="1"/>
      <w:marLeft w:val="0"/>
      <w:marRight w:val="0"/>
      <w:marTop w:val="0"/>
      <w:marBottom w:val="0"/>
      <w:divBdr>
        <w:top w:val="none" w:sz="0" w:space="0" w:color="auto"/>
        <w:left w:val="none" w:sz="0" w:space="0" w:color="auto"/>
        <w:bottom w:val="none" w:sz="0" w:space="0" w:color="auto"/>
        <w:right w:val="none" w:sz="0" w:space="0" w:color="auto"/>
      </w:divBdr>
    </w:div>
    <w:div w:id="148254251">
      <w:bodyDiv w:val="1"/>
      <w:marLeft w:val="0"/>
      <w:marRight w:val="0"/>
      <w:marTop w:val="0"/>
      <w:marBottom w:val="0"/>
      <w:divBdr>
        <w:top w:val="none" w:sz="0" w:space="0" w:color="auto"/>
        <w:left w:val="none" w:sz="0" w:space="0" w:color="auto"/>
        <w:bottom w:val="none" w:sz="0" w:space="0" w:color="auto"/>
        <w:right w:val="none" w:sz="0" w:space="0" w:color="auto"/>
      </w:divBdr>
    </w:div>
    <w:div w:id="208304426">
      <w:bodyDiv w:val="1"/>
      <w:marLeft w:val="0"/>
      <w:marRight w:val="0"/>
      <w:marTop w:val="0"/>
      <w:marBottom w:val="0"/>
      <w:divBdr>
        <w:top w:val="none" w:sz="0" w:space="0" w:color="auto"/>
        <w:left w:val="none" w:sz="0" w:space="0" w:color="auto"/>
        <w:bottom w:val="none" w:sz="0" w:space="0" w:color="auto"/>
        <w:right w:val="none" w:sz="0" w:space="0" w:color="auto"/>
      </w:divBdr>
    </w:div>
    <w:div w:id="243220848">
      <w:bodyDiv w:val="1"/>
      <w:marLeft w:val="0"/>
      <w:marRight w:val="0"/>
      <w:marTop w:val="0"/>
      <w:marBottom w:val="0"/>
      <w:divBdr>
        <w:top w:val="none" w:sz="0" w:space="0" w:color="auto"/>
        <w:left w:val="none" w:sz="0" w:space="0" w:color="auto"/>
        <w:bottom w:val="none" w:sz="0" w:space="0" w:color="auto"/>
        <w:right w:val="none" w:sz="0" w:space="0" w:color="auto"/>
      </w:divBdr>
    </w:div>
    <w:div w:id="327098358">
      <w:bodyDiv w:val="1"/>
      <w:marLeft w:val="0"/>
      <w:marRight w:val="0"/>
      <w:marTop w:val="0"/>
      <w:marBottom w:val="0"/>
      <w:divBdr>
        <w:top w:val="none" w:sz="0" w:space="0" w:color="auto"/>
        <w:left w:val="none" w:sz="0" w:space="0" w:color="auto"/>
        <w:bottom w:val="none" w:sz="0" w:space="0" w:color="auto"/>
        <w:right w:val="none" w:sz="0" w:space="0" w:color="auto"/>
      </w:divBdr>
    </w:div>
    <w:div w:id="397561646">
      <w:bodyDiv w:val="1"/>
      <w:marLeft w:val="0"/>
      <w:marRight w:val="0"/>
      <w:marTop w:val="0"/>
      <w:marBottom w:val="0"/>
      <w:divBdr>
        <w:top w:val="none" w:sz="0" w:space="0" w:color="auto"/>
        <w:left w:val="none" w:sz="0" w:space="0" w:color="auto"/>
        <w:bottom w:val="none" w:sz="0" w:space="0" w:color="auto"/>
        <w:right w:val="none" w:sz="0" w:space="0" w:color="auto"/>
      </w:divBdr>
    </w:div>
    <w:div w:id="519128885">
      <w:bodyDiv w:val="1"/>
      <w:marLeft w:val="0"/>
      <w:marRight w:val="0"/>
      <w:marTop w:val="0"/>
      <w:marBottom w:val="0"/>
      <w:divBdr>
        <w:top w:val="none" w:sz="0" w:space="0" w:color="auto"/>
        <w:left w:val="none" w:sz="0" w:space="0" w:color="auto"/>
        <w:bottom w:val="none" w:sz="0" w:space="0" w:color="auto"/>
        <w:right w:val="none" w:sz="0" w:space="0" w:color="auto"/>
      </w:divBdr>
    </w:div>
    <w:div w:id="599068085">
      <w:bodyDiv w:val="1"/>
      <w:marLeft w:val="0"/>
      <w:marRight w:val="0"/>
      <w:marTop w:val="0"/>
      <w:marBottom w:val="0"/>
      <w:divBdr>
        <w:top w:val="none" w:sz="0" w:space="0" w:color="auto"/>
        <w:left w:val="none" w:sz="0" w:space="0" w:color="auto"/>
        <w:bottom w:val="none" w:sz="0" w:space="0" w:color="auto"/>
        <w:right w:val="none" w:sz="0" w:space="0" w:color="auto"/>
      </w:divBdr>
    </w:div>
    <w:div w:id="621420315">
      <w:bodyDiv w:val="1"/>
      <w:marLeft w:val="0"/>
      <w:marRight w:val="0"/>
      <w:marTop w:val="0"/>
      <w:marBottom w:val="0"/>
      <w:divBdr>
        <w:top w:val="none" w:sz="0" w:space="0" w:color="auto"/>
        <w:left w:val="none" w:sz="0" w:space="0" w:color="auto"/>
        <w:bottom w:val="none" w:sz="0" w:space="0" w:color="auto"/>
        <w:right w:val="none" w:sz="0" w:space="0" w:color="auto"/>
      </w:divBdr>
    </w:div>
    <w:div w:id="658075013">
      <w:bodyDiv w:val="1"/>
      <w:marLeft w:val="0"/>
      <w:marRight w:val="0"/>
      <w:marTop w:val="0"/>
      <w:marBottom w:val="0"/>
      <w:divBdr>
        <w:top w:val="none" w:sz="0" w:space="0" w:color="auto"/>
        <w:left w:val="none" w:sz="0" w:space="0" w:color="auto"/>
        <w:bottom w:val="none" w:sz="0" w:space="0" w:color="auto"/>
        <w:right w:val="none" w:sz="0" w:space="0" w:color="auto"/>
      </w:divBdr>
    </w:div>
    <w:div w:id="772089712">
      <w:bodyDiv w:val="1"/>
      <w:marLeft w:val="0"/>
      <w:marRight w:val="0"/>
      <w:marTop w:val="0"/>
      <w:marBottom w:val="0"/>
      <w:divBdr>
        <w:top w:val="none" w:sz="0" w:space="0" w:color="auto"/>
        <w:left w:val="none" w:sz="0" w:space="0" w:color="auto"/>
        <w:bottom w:val="none" w:sz="0" w:space="0" w:color="auto"/>
        <w:right w:val="none" w:sz="0" w:space="0" w:color="auto"/>
      </w:divBdr>
    </w:div>
    <w:div w:id="775561808">
      <w:bodyDiv w:val="1"/>
      <w:marLeft w:val="0"/>
      <w:marRight w:val="0"/>
      <w:marTop w:val="0"/>
      <w:marBottom w:val="0"/>
      <w:divBdr>
        <w:top w:val="none" w:sz="0" w:space="0" w:color="auto"/>
        <w:left w:val="none" w:sz="0" w:space="0" w:color="auto"/>
        <w:bottom w:val="none" w:sz="0" w:space="0" w:color="auto"/>
        <w:right w:val="none" w:sz="0" w:space="0" w:color="auto"/>
      </w:divBdr>
    </w:div>
    <w:div w:id="842548732">
      <w:bodyDiv w:val="1"/>
      <w:marLeft w:val="0"/>
      <w:marRight w:val="0"/>
      <w:marTop w:val="0"/>
      <w:marBottom w:val="0"/>
      <w:divBdr>
        <w:top w:val="none" w:sz="0" w:space="0" w:color="auto"/>
        <w:left w:val="none" w:sz="0" w:space="0" w:color="auto"/>
        <w:bottom w:val="none" w:sz="0" w:space="0" w:color="auto"/>
        <w:right w:val="none" w:sz="0" w:space="0" w:color="auto"/>
      </w:divBdr>
    </w:div>
    <w:div w:id="907032139">
      <w:bodyDiv w:val="1"/>
      <w:marLeft w:val="0"/>
      <w:marRight w:val="0"/>
      <w:marTop w:val="0"/>
      <w:marBottom w:val="0"/>
      <w:divBdr>
        <w:top w:val="none" w:sz="0" w:space="0" w:color="auto"/>
        <w:left w:val="none" w:sz="0" w:space="0" w:color="auto"/>
        <w:bottom w:val="none" w:sz="0" w:space="0" w:color="auto"/>
        <w:right w:val="none" w:sz="0" w:space="0" w:color="auto"/>
      </w:divBdr>
    </w:div>
    <w:div w:id="921573461">
      <w:bodyDiv w:val="1"/>
      <w:marLeft w:val="0"/>
      <w:marRight w:val="0"/>
      <w:marTop w:val="0"/>
      <w:marBottom w:val="0"/>
      <w:divBdr>
        <w:top w:val="none" w:sz="0" w:space="0" w:color="auto"/>
        <w:left w:val="none" w:sz="0" w:space="0" w:color="auto"/>
        <w:bottom w:val="none" w:sz="0" w:space="0" w:color="auto"/>
        <w:right w:val="none" w:sz="0" w:space="0" w:color="auto"/>
      </w:divBdr>
    </w:div>
    <w:div w:id="932083431">
      <w:bodyDiv w:val="1"/>
      <w:marLeft w:val="0"/>
      <w:marRight w:val="0"/>
      <w:marTop w:val="0"/>
      <w:marBottom w:val="0"/>
      <w:divBdr>
        <w:top w:val="none" w:sz="0" w:space="0" w:color="auto"/>
        <w:left w:val="none" w:sz="0" w:space="0" w:color="auto"/>
        <w:bottom w:val="none" w:sz="0" w:space="0" w:color="auto"/>
        <w:right w:val="none" w:sz="0" w:space="0" w:color="auto"/>
      </w:divBdr>
    </w:div>
    <w:div w:id="1057239808">
      <w:bodyDiv w:val="1"/>
      <w:marLeft w:val="0"/>
      <w:marRight w:val="0"/>
      <w:marTop w:val="0"/>
      <w:marBottom w:val="0"/>
      <w:divBdr>
        <w:top w:val="none" w:sz="0" w:space="0" w:color="auto"/>
        <w:left w:val="none" w:sz="0" w:space="0" w:color="auto"/>
        <w:bottom w:val="none" w:sz="0" w:space="0" w:color="auto"/>
        <w:right w:val="none" w:sz="0" w:space="0" w:color="auto"/>
      </w:divBdr>
    </w:div>
    <w:div w:id="1120029084">
      <w:bodyDiv w:val="1"/>
      <w:marLeft w:val="0"/>
      <w:marRight w:val="0"/>
      <w:marTop w:val="0"/>
      <w:marBottom w:val="0"/>
      <w:divBdr>
        <w:top w:val="none" w:sz="0" w:space="0" w:color="auto"/>
        <w:left w:val="none" w:sz="0" w:space="0" w:color="auto"/>
        <w:bottom w:val="none" w:sz="0" w:space="0" w:color="auto"/>
        <w:right w:val="none" w:sz="0" w:space="0" w:color="auto"/>
      </w:divBdr>
    </w:div>
    <w:div w:id="1120493956">
      <w:bodyDiv w:val="1"/>
      <w:marLeft w:val="0"/>
      <w:marRight w:val="0"/>
      <w:marTop w:val="0"/>
      <w:marBottom w:val="0"/>
      <w:divBdr>
        <w:top w:val="none" w:sz="0" w:space="0" w:color="auto"/>
        <w:left w:val="none" w:sz="0" w:space="0" w:color="auto"/>
        <w:bottom w:val="none" w:sz="0" w:space="0" w:color="auto"/>
        <w:right w:val="none" w:sz="0" w:space="0" w:color="auto"/>
      </w:divBdr>
    </w:div>
    <w:div w:id="1137844586">
      <w:bodyDiv w:val="1"/>
      <w:marLeft w:val="0"/>
      <w:marRight w:val="0"/>
      <w:marTop w:val="0"/>
      <w:marBottom w:val="0"/>
      <w:divBdr>
        <w:top w:val="none" w:sz="0" w:space="0" w:color="auto"/>
        <w:left w:val="none" w:sz="0" w:space="0" w:color="auto"/>
        <w:bottom w:val="none" w:sz="0" w:space="0" w:color="auto"/>
        <w:right w:val="none" w:sz="0" w:space="0" w:color="auto"/>
      </w:divBdr>
    </w:div>
    <w:div w:id="1176529871">
      <w:bodyDiv w:val="1"/>
      <w:marLeft w:val="0"/>
      <w:marRight w:val="0"/>
      <w:marTop w:val="0"/>
      <w:marBottom w:val="0"/>
      <w:divBdr>
        <w:top w:val="none" w:sz="0" w:space="0" w:color="auto"/>
        <w:left w:val="none" w:sz="0" w:space="0" w:color="auto"/>
        <w:bottom w:val="none" w:sz="0" w:space="0" w:color="auto"/>
        <w:right w:val="none" w:sz="0" w:space="0" w:color="auto"/>
      </w:divBdr>
    </w:div>
    <w:div w:id="1227103627">
      <w:bodyDiv w:val="1"/>
      <w:marLeft w:val="0"/>
      <w:marRight w:val="0"/>
      <w:marTop w:val="0"/>
      <w:marBottom w:val="0"/>
      <w:divBdr>
        <w:top w:val="none" w:sz="0" w:space="0" w:color="auto"/>
        <w:left w:val="none" w:sz="0" w:space="0" w:color="auto"/>
        <w:bottom w:val="none" w:sz="0" w:space="0" w:color="auto"/>
        <w:right w:val="none" w:sz="0" w:space="0" w:color="auto"/>
      </w:divBdr>
    </w:div>
    <w:div w:id="1272083879">
      <w:bodyDiv w:val="1"/>
      <w:marLeft w:val="0"/>
      <w:marRight w:val="0"/>
      <w:marTop w:val="0"/>
      <w:marBottom w:val="0"/>
      <w:divBdr>
        <w:top w:val="none" w:sz="0" w:space="0" w:color="auto"/>
        <w:left w:val="none" w:sz="0" w:space="0" w:color="auto"/>
        <w:bottom w:val="none" w:sz="0" w:space="0" w:color="auto"/>
        <w:right w:val="none" w:sz="0" w:space="0" w:color="auto"/>
      </w:divBdr>
    </w:div>
    <w:div w:id="1324315391">
      <w:bodyDiv w:val="1"/>
      <w:marLeft w:val="0"/>
      <w:marRight w:val="0"/>
      <w:marTop w:val="0"/>
      <w:marBottom w:val="0"/>
      <w:divBdr>
        <w:top w:val="none" w:sz="0" w:space="0" w:color="auto"/>
        <w:left w:val="none" w:sz="0" w:space="0" w:color="auto"/>
        <w:bottom w:val="none" w:sz="0" w:space="0" w:color="auto"/>
        <w:right w:val="none" w:sz="0" w:space="0" w:color="auto"/>
      </w:divBdr>
    </w:div>
    <w:div w:id="1356689870">
      <w:bodyDiv w:val="1"/>
      <w:marLeft w:val="0"/>
      <w:marRight w:val="0"/>
      <w:marTop w:val="0"/>
      <w:marBottom w:val="0"/>
      <w:divBdr>
        <w:top w:val="none" w:sz="0" w:space="0" w:color="auto"/>
        <w:left w:val="none" w:sz="0" w:space="0" w:color="auto"/>
        <w:bottom w:val="none" w:sz="0" w:space="0" w:color="auto"/>
        <w:right w:val="none" w:sz="0" w:space="0" w:color="auto"/>
      </w:divBdr>
    </w:div>
    <w:div w:id="1359820109">
      <w:bodyDiv w:val="1"/>
      <w:marLeft w:val="0"/>
      <w:marRight w:val="0"/>
      <w:marTop w:val="0"/>
      <w:marBottom w:val="0"/>
      <w:divBdr>
        <w:top w:val="none" w:sz="0" w:space="0" w:color="auto"/>
        <w:left w:val="none" w:sz="0" w:space="0" w:color="auto"/>
        <w:bottom w:val="none" w:sz="0" w:space="0" w:color="auto"/>
        <w:right w:val="none" w:sz="0" w:space="0" w:color="auto"/>
      </w:divBdr>
    </w:div>
    <w:div w:id="1465544161">
      <w:bodyDiv w:val="1"/>
      <w:marLeft w:val="0"/>
      <w:marRight w:val="0"/>
      <w:marTop w:val="0"/>
      <w:marBottom w:val="0"/>
      <w:divBdr>
        <w:top w:val="none" w:sz="0" w:space="0" w:color="auto"/>
        <w:left w:val="none" w:sz="0" w:space="0" w:color="auto"/>
        <w:bottom w:val="none" w:sz="0" w:space="0" w:color="auto"/>
        <w:right w:val="none" w:sz="0" w:space="0" w:color="auto"/>
      </w:divBdr>
    </w:div>
    <w:div w:id="1466193797">
      <w:bodyDiv w:val="1"/>
      <w:marLeft w:val="0"/>
      <w:marRight w:val="0"/>
      <w:marTop w:val="0"/>
      <w:marBottom w:val="0"/>
      <w:divBdr>
        <w:top w:val="none" w:sz="0" w:space="0" w:color="auto"/>
        <w:left w:val="none" w:sz="0" w:space="0" w:color="auto"/>
        <w:bottom w:val="none" w:sz="0" w:space="0" w:color="auto"/>
        <w:right w:val="none" w:sz="0" w:space="0" w:color="auto"/>
      </w:divBdr>
    </w:div>
    <w:div w:id="1467236474">
      <w:bodyDiv w:val="1"/>
      <w:marLeft w:val="0"/>
      <w:marRight w:val="0"/>
      <w:marTop w:val="0"/>
      <w:marBottom w:val="0"/>
      <w:divBdr>
        <w:top w:val="none" w:sz="0" w:space="0" w:color="auto"/>
        <w:left w:val="none" w:sz="0" w:space="0" w:color="auto"/>
        <w:bottom w:val="none" w:sz="0" w:space="0" w:color="auto"/>
        <w:right w:val="none" w:sz="0" w:space="0" w:color="auto"/>
      </w:divBdr>
    </w:div>
    <w:div w:id="1587111851">
      <w:bodyDiv w:val="1"/>
      <w:marLeft w:val="0"/>
      <w:marRight w:val="0"/>
      <w:marTop w:val="0"/>
      <w:marBottom w:val="0"/>
      <w:divBdr>
        <w:top w:val="none" w:sz="0" w:space="0" w:color="auto"/>
        <w:left w:val="none" w:sz="0" w:space="0" w:color="auto"/>
        <w:bottom w:val="none" w:sz="0" w:space="0" w:color="auto"/>
        <w:right w:val="none" w:sz="0" w:space="0" w:color="auto"/>
      </w:divBdr>
    </w:div>
    <w:div w:id="1598174505">
      <w:bodyDiv w:val="1"/>
      <w:marLeft w:val="0"/>
      <w:marRight w:val="0"/>
      <w:marTop w:val="0"/>
      <w:marBottom w:val="0"/>
      <w:divBdr>
        <w:top w:val="none" w:sz="0" w:space="0" w:color="auto"/>
        <w:left w:val="none" w:sz="0" w:space="0" w:color="auto"/>
        <w:bottom w:val="none" w:sz="0" w:space="0" w:color="auto"/>
        <w:right w:val="none" w:sz="0" w:space="0" w:color="auto"/>
      </w:divBdr>
    </w:div>
    <w:div w:id="1652295307">
      <w:bodyDiv w:val="1"/>
      <w:marLeft w:val="0"/>
      <w:marRight w:val="0"/>
      <w:marTop w:val="0"/>
      <w:marBottom w:val="0"/>
      <w:divBdr>
        <w:top w:val="none" w:sz="0" w:space="0" w:color="auto"/>
        <w:left w:val="none" w:sz="0" w:space="0" w:color="auto"/>
        <w:bottom w:val="none" w:sz="0" w:space="0" w:color="auto"/>
        <w:right w:val="none" w:sz="0" w:space="0" w:color="auto"/>
      </w:divBdr>
    </w:div>
    <w:div w:id="1749686904">
      <w:bodyDiv w:val="1"/>
      <w:marLeft w:val="0"/>
      <w:marRight w:val="0"/>
      <w:marTop w:val="0"/>
      <w:marBottom w:val="0"/>
      <w:divBdr>
        <w:top w:val="none" w:sz="0" w:space="0" w:color="auto"/>
        <w:left w:val="none" w:sz="0" w:space="0" w:color="auto"/>
        <w:bottom w:val="none" w:sz="0" w:space="0" w:color="auto"/>
        <w:right w:val="none" w:sz="0" w:space="0" w:color="auto"/>
      </w:divBdr>
    </w:div>
    <w:div w:id="1796211892">
      <w:bodyDiv w:val="1"/>
      <w:marLeft w:val="0"/>
      <w:marRight w:val="0"/>
      <w:marTop w:val="0"/>
      <w:marBottom w:val="0"/>
      <w:divBdr>
        <w:top w:val="none" w:sz="0" w:space="0" w:color="auto"/>
        <w:left w:val="none" w:sz="0" w:space="0" w:color="auto"/>
        <w:bottom w:val="none" w:sz="0" w:space="0" w:color="auto"/>
        <w:right w:val="none" w:sz="0" w:space="0" w:color="auto"/>
      </w:divBdr>
    </w:div>
    <w:div w:id="1803108436">
      <w:bodyDiv w:val="1"/>
      <w:marLeft w:val="0"/>
      <w:marRight w:val="0"/>
      <w:marTop w:val="0"/>
      <w:marBottom w:val="0"/>
      <w:divBdr>
        <w:top w:val="none" w:sz="0" w:space="0" w:color="auto"/>
        <w:left w:val="none" w:sz="0" w:space="0" w:color="auto"/>
        <w:bottom w:val="none" w:sz="0" w:space="0" w:color="auto"/>
        <w:right w:val="none" w:sz="0" w:space="0" w:color="auto"/>
      </w:divBdr>
    </w:div>
    <w:div w:id="1808086359">
      <w:bodyDiv w:val="1"/>
      <w:marLeft w:val="0"/>
      <w:marRight w:val="0"/>
      <w:marTop w:val="0"/>
      <w:marBottom w:val="0"/>
      <w:divBdr>
        <w:top w:val="none" w:sz="0" w:space="0" w:color="auto"/>
        <w:left w:val="none" w:sz="0" w:space="0" w:color="auto"/>
        <w:bottom w:val="none" w:sz="0" w:space="0" w:color="auto"/>
        <w:right w:val="none" w:sz="0" w:space="0" w:color="auto"/>
      </w:divBdr>
    </w:div>
    <w:div w:id="1827436921">
      <w:bodyDiv w:val="1"/>
      <w:marLeft w:val="0"/>
      <w:marRight w:val="0"/>
      <w:marTop w:val="0"/>
      <w:marBottom w:val="0"/>
      <w:divBdr>
        <w:top w:val="none" w:sz="0" w:space="0" w:color="auto"/>
        <w:left w:val="none" w:sz="0" w:space="0" w:color="auto"/>
        <w:bottom w:val="none" w:sz="0" w:space="0" w:color="auto"/>
        <w:right w:val="none" w:sz="0" w:space="0" w:color="auto"/>
      </w:divBdr>
    </w:div>
    <w:div w:id="1870338962">
      <w:bodyDiv w:val="1"/>
      <w:marLeft w:val="0"/>
      <w:marRight w:val="0"/>
      <w:marTop w:val="0"/>
      <w:marBottom w:val="0"/>
      <w:divBdr>
        <w:top w:val="none" w:sz="0" w:space="0" w:color="auto"/>
        <w:left w:val="none" w:sz="0" w:space="0" w:color="auto"/>
        <w:bottom w:val="none" w:sz="0" w:space="0" w:color="auto"/>
        <w:right w:val="none" w:sz="0" w:space="0" w:color="auto"/>
      </w:divBdr>
    </w:div>
    <w:div w:id="1897006478">
      <w:bodyDiv w:val="1"/>
      <w:marLeft w:val="0"/>
      <w:marRight w:val="0"/>
      <w:marTop w:val="0"/>
      <w:marBottom w:val="0"/>
      <w:divBdr>
        <w:top w:val="none" w:sz="0" w:space="0" w:color="auto"/>
        <w:left w:val="none" w:sz="0" w:space="0" w:color="auto"/>
        <w:bottom w:val="none" w:sz="0" w:space="0" w:color="auto"/>
        <w:right w:val="none" w:sz="0" w:space="0" w:color="auto"/>
      </w:divBdr>
    </w:div>
    <w:div w:id="2022927464">
      <w:bodyDiv w:val="1"/>
      <w:marLeft w:val="0"/>
      <w:marRight w:val="0"/>
      <w:marTop w:val="0"/>
      <w:marBottom w:val="0"/>
      <w:divBdr>
        <w:top w:val="none" w:sz="0" w:space="0" w:color="auto"/>
        <w:left w:val="none" w:sz="0" w:space="0" w:color="auto"/>
        <w:bottom w:val="none" w:sz="0" w:space="0" w:color="auto"/>
        <w:right w:val="none" w:sz="0" w:space="0" w:color="auto"/>
      </w:divBdr>
    </w:div>
    <w:div w:id="2075735424">
      <w:bodyDiv w:val="1"/>
      <w:marLeft w:val="0"/>
      <w:marRight w:val="0"/>
      <w:marTop w:val="0"/>
      <w:marBottom w:val="0"/>
      <w:divBdr>
        <w:top w:val="none" w:sz="0" w:space="0" w:color="auto"/>
        <w:left w:val="none" w:sz="0" w:space="0" w:color="auto"/>
        <w:bottom w:val="none" w:sz="0" w:space="0" w:color="auto"/>
        <w:right w:val="none" w:sz="0" w:space="0" w:color="auto"/>
      </w:divBdr>
    </w:div>
    <w:div w:id="2089958518">
      <w:bodyDiv w:val="1"/>
      <w:marLeft w:val="0"/>
      <w:marRight w:val="0"/>
      <w:marTop w:val="0"/>
      <w:marBottom w:val="0"/>
      <w:divBdr>
        <w:top w:val="none" w:sz="0" w:space="0" w:color="auto"/>
        <w:left w:val="none" w:sz="0" w:space="0" w:color="auto"/>
        <w:bottom w:val="none" w:sz="0" w:space="0" w:color="auto"/>
        <w:right w:val="none" w:sz="0" w:space="0" w:color="auto"/>
      </w:divBdr>
    </w:div>
    <w:div w:id="2094928474">
      <w:bodyDiv w:val="1"/>
      <w:marLeft w:val="0"/>
      <w:marRight w:val="0"/>
      <w:marTop w:val="0"/>
      <w:marBottom w:val="0"/>
      <w:divBdr>
        <w:top w:val="none" w:sz="0" w:space="0" w:color="auto"/>
        <w:left w:val="none" w:sz="0" w:space="0" w:color="auto"/>
        <w:bottom w:val="none" w:sz="0" w:space="0" w:color="auto"/>
        <w:right w:val="none" w:sz="0" w:space="0" w:color="auto"/>
      </w:divBdr>
    </w:div>
    <w:div w:id="209990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 TargetMode="External"/><Relationship Id="rId2" Type="http://schemas.openxmlformats.org/officeDocument/2006/relationships/hyperlink" Target="https://siteal.iiep.unesco.org/sites/default/files/sit_informe_pdfs/siteal_educacion_basica_20190521.pdf" TargetMode="External"/><Relationship Id="rId1" Type="http://schemas.openxmlformats.org/officeDocument/2006/relationships/hyperlink" Target="https://siteal.iiep.unesco.org/" TargetMode="External"/><Relationship Id="rId4" Type="http://schemas.openxmlformats.org/officeDocument/2006/relationships/hyperlink" Target="https://www.dof.gob.mx/nota_detalle.php?codigo=5560457&amp;fecha=15/05/20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5371-818A-4459-B8B0-72309E22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29</Pages>
  <Words>10514</Words>
  <Characters>59932</Characters>
  <Application>Microsoft Office Word</Application>
  <DocSecurity>0</DocSecurity>
  <Lines>499</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Delgado</dc:creator>
  <cp:keywords/>
  <dc:description/>
  <cp:lastModifiedBy>carmen_delgado</cp:lastModifiedBy>
  <cp:revision>32</cp:revision>
  <cp:lastPrinted>2022-10-10T16:17:00Z</cp:lastPrinted>
  <dcterms:created xsi:type="dcterms:W3CDTF">2023-09-20T04:03:00Z</dcterms:created>
  <dcterms:modified xsi:type="dcterms:W3CDTF">2023-09-22T06:22:00Z</dcterms:modified>
</cp:coreProperties>
</file>