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38"/>
        </w:tabs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  <w:t>AVISO DE PRIVACIDAD INTEGRAL</w: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b/>
          <w:noProof/>
          <w:spacing w:val="-3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16510</wp:posOffset>
                </wp:positionV>
                <wp:extent cx="4562475" cy="4572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sz w:val="18"/>
                                <w:szCs w:val="18"/>
                                <w:lang w:val="es-MX" w:eastAsia="es-MX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sz w:val="18"/>
                                <w:szCs w:val="18"/>
                                <w:lang w:val="es-MX" w:eastAsia="es-MX"/>
                              </w:rPr>
                              <w:t>DEPTO. DE DIAGNÓSTICO PARA ALUMNOS Y ALUMNAS DE EDUCACIÓN BÁSICA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spacing w:val="-3"/>
                                <w:sz w:val="18"/>
                                <w:szCs w:val="18"/>
                                <w:lang w:val="es-MX" w:eastAsia="es-MX"/>
                              </w:rPr>
                              <w:t>OTORGAMIENTO DE ANTEOJOS</w:t>
                            </w:r>
                          </w:p>
                          <w:p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B36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7.95pt;margin-top:1.3pt;width:359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K6KQIAAE0EAAAOAAAAZHJzL2Uyb0RvYy54bWysVNtu2zAMfR+wfxD0vtjJkqY14hRdugwD&#10;ugvQ7QMYSY6FyaInKbGzrx8lu1l2exnmB0ESqcPDQ9Kr274x7Kic12hLPp3knCkrUGq7L/nnT9sX&#10;15z5AFaCQatKflKe366fP1t1baFmWKORyjECsb7o2pLXIbRFlnlRqwb8BFtlyVihayDQ0e0z6aAj&#10;9MZkszy/yjp0snUolPd0ez8Y+TrhV5US4UNVeRWYKTlxC2l1ad3FNVuvoNg7aGstRhrwDywa0JaC&#10;nqHuIQA7OP0bVKOFQ49VmAhsMqwqLVTKgbKZ5r9k81hDq1IuJI5vzzL5/wcr3h8/OqZlyV/mS84s&#10;NFSkzQGkQyYVC6oPyGZRpq71BXk/tuQf+lfYU7lTyr59QPHFM4ubGuxe3TmHXa1AEs1pfJldPB1w&#10;fATZde9QUjQ4BExAfeWaqCGpwgidynU6l4h4MEGX88XVbL5ccCbINl8sqQdSCCieXrfOhzcKGxY3&#10;JXfUAgkdjg8+RDZQPLnEYB6NllttTDq4/W5jHDsCtcs2fSP6T27Gsq7kN4vZYhDgrxB5+v4E0ehA&#10;fW90U/LrsxMUUbbXVqauDKDNsCfKxo46RukGEUO/68e67FCeSFGHQ3/TPNKmRveNs456u+T+6wGc&#10;4sy8tVSVm+l8HochHZKInLlLy+7SAlYQVMkDZ8N2E9IARcEs3lH1Kp2EjWUemIxcqWeT3uN8xaG4&#10;PCevH3+B9XcAAAD//wMAUEsDBBQABgAIAAAAIQCCMJof3gAAAAgBAAAPAAAAZHJzL2Rvd25yZXYu&#10;eG1sTI/NTsMwEITvSLyDtUhcUOtQQv6IUyEkEL1Bi+Dqxtskwl4H203D22NOcBzNaOabej0bzSZ0&#10;frAk4HqZAENqrRqoE/C2e1wUwHyQpKS2hAK+0cO6OT+rZaXsiV5x2oaOxRLylRTQhzBWnPu2RyP9&#10;0o5I0TtYZ2SI0nVcOXmK5UbzVZJk3MiB4kIvR3zosf3cHo2AIn2ePvzm5uW9zQ66DFf59PTlhLi8&#10;mO/vgAWcw18YfvEjOjSRaW+PpDzTUee3ZYwKWGXAol+UaQpsLyBPM+BNzf8faH4AAAD//wMAUEsB&#10;Ai0AFAAGAAgAAAAhALaDOJL+AAAA4QEAABMAAAAAAAAAAAAAAAAAAAAAAFtDb250ZW50X1R5cGVz&#10;XS54bWxQSwECLQAUAAYACAAAACEAOP0h/9YAAACUAQAACwAAAAAAAAAAAAAAAAAvAQAAX3JlbHMv&#10;LnJlbHNQSwECLQAUAAYACAAAACEAFcwiuikCAABNBAAADgAAAAAAAAAAAAAAAAAuAgAAZHJzL2Uy&#10;b0RvYy54bWxQSwECLQAUAAYACAAAACEAgjCaH94AAAAIAQAADwAAAAAAAAAAAAAAAACDBAAAZHJz&#10;L2Rvd25yZXYueG1sUEsFBgAAAAAEAAQA8wAAAI4FAAAAAA==&#10;">
                <v:textbox>
                  <w:txbxContent>
                    <w:p w:rsidR="001B3F35" w:rsidRDefault="001B3F35" w:rsidP="001B3F35">
                      <w:pPr>
                        <w:jc w:val="center"/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</w:pPr>
                      <w:r w:rsidRPr="001B3F35"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  <w:t>DEPTO. DE DIAGNÓSTICO PARA ALUMNOS</w:t>
                      </w:r>
                      <w:r w:rsidR="009C7149"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  <w:t xml:space="preserve"> Y ALUMNAS</w:t>
                      </w:r>
                      <w:r w:rsidRPr="001B3F35"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  <w:t xml:space="preserve"> DE EDUCACIÓN BÁSICA</w:t>
                      </w:r>
                    </w:p>
                    <w:p w:rsidR="001B3F35" w:rsidRPr="001B3F35" w:rsidRDefault="001B3F35" w:rsidP="001B3F35">
                      <w:pPr>
                        <w:jc w:val="center"/>
                        <w:rPr>
                          <w:sz w:val="18"/>
                          <w:szCs w:val="18"/>
                          <w:u w:val="single"/>
                          <w:lang w:val="es-MX"/>
                        </w:rPr>
                      </w:pPr>
                      <w:r w:rsidRPr="001B3F35">
                        <w:rPr>
                          <w:rFonts w:ascii="Verdana" w:eastAsia="Times New Roman" w:hAnsi="Verdana" w:cs="Arial"/>
                          <w:b/>
                          <w:spacing w:val="-3"/>
                          <w:sz w:val="18"/>
                          <w:szCs w:val="18"/>
                          <w:lang w:val="es-MX" w:eastAsia="es-MX"/>
                        </w:rPr>
                        <w:t>OTORGAMIENTO DE ANTEOJOS</w:t>
                      </w:r>
                    </w:p>
                    <w:p w:rsidR="001B3F35" w:rsidRPr="001B3F35" w:rsidRDefault="001B3F35" w:rsidP="001B3F3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>
      <w:pPr>
        <w:spacing w:after="0" w:line="240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Panamericana, C.P. 31200, Chihuahua, </w:t>
      </w:r>
      <w:proofErr w:type="spellStart"/>
      <w:r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>
        <w:rPr>
          <w:rFonts w:ascii="Verdana" w:eastAsia="Verdana" w:hAnsi="Verdana" w:cs="Verdana"/>
          <w:sz w:val="18"/>
          <w:szCs w:val="18"/>
          <w:lang w:val="es-MX"/>
        </w:rPr>
        <w:t xml:space="preserve">., con página web: </w:t>
      </w:r>
      <w:hyperlink r:id="rId8" w:history="1">
        <w:r>
          <w:rPr>
            <w:rStyle w:val="Hipervnculo"/>
            <w:rFonts w:ascii="Verdana" w:eastAsia="Verdana" w:hAnsi="Verdana" w:cs="Verdana"/>
            <w:sz w:val="18"/>
            <w:szCs w:val="18"/>
            <w:lang w:val="es-MX"/>
          </w:rPr>
          <w:t>https://seech.gob.mx</w:t>
        </w:r>
      </w:hyperlink>
      <w:r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hyperlink r:id="rId9" w:history="1"/>
      <w:r>
        <w:rPr>
          <w:rFonts w:ascii="Verdana" w:eastAsia="Verdana" w:hAnsi="Verdana" w:cs="Verdana"/>
          <w:sz w:val="18"/>
          <w:szCs w:val="18"/>
          <w:lang w:val="es-MX"/>
        </w:rPr>
        <w:t>teléfono (614)429-13-35; es responsable del tratamiento y salvaguarda de sus datos personales obtenidos ya sea por medios electrónicos, escritos o en forma personal y en cumplimiento a lo dispuesto por el artículo 67 de la Ley de Protección de Datos Personales del Estado de Chihuahua y sus Lineamientos.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Datos de identificación:  </w:t>
      </w: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ab/>
        <w:t xml:space="preserve">Nombre completo, edad, CURP, género    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Datos de contacto: </w:t>
      </w: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ab/>
      </w: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ab/>
        <w:t>Teléfono particular, domicilio, localidad, municipio</w:t>
      </w:r>
    </w:p>
    <w:p>
      <w:pPr>
        <w:spacing w:after="0" w:line="240" w:lineRule="auto"/>
        <w:ind w:left="2832" w:hanging="2832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Datos académicos: </w:t>
      </w: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ab/>
        <w:t xml:space="preserve">Nivel académico (turno, grado, grupo); clave del Centro de Trabajo, datos del plantel educativo (nombre, domicilio, localidad, municipio)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Datos de Salud: Signos y síntomas, valoración Optométrica (padecimientos hereditarios, problemas patológicos visuales; diagnóstico, tratamiento, prescripción).</w:t>
      </w: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Debido a que recabamos datos personales sensibles, será necesario que otorgue su consentimiento.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Recabar información esencial para la realización de un diagnóstico visual y el otorgamiento de anteojos en caso de requerirlos </w:t>
      </w:r>
    </w:p>
    <w:p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Canalizar problemas visuales mayores. </w:t>
      </w:r>
    </w:p>
    <w:p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Para hacer válida la garantía ya sea de manufactura o daño en piezas</w:t>
      </w:r>
    </w:p>
    <w:p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Para fines estadísticos y de transparencia en el manejo de recursos y donativos.</w:t>
      </w:r>
    </w:p>
    <w:p>
      <w:pPr>
        <w:pStyle w:val="Prrafode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Contar con un historial de alumnos en el Sistema de Información Educativa (SIE) para su seguimiento, control y transparencia del recurso utilizado en beneficio de los y las alumnas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Sus datos personales podrán ser transferidos a la Fundación “Ver Bien para Aprender Mejor, A.C.”  </w:t>
      </w:r>
      <w:proofErr w:type="gramStart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con</w:t>
      </w:r>
      <w:proofErr w:type="gramEnd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fines estadísticos y de transparencia en el manejo de recursos y donativos.  Asimismo podrán ser transferidos al Hospital Infantil de Especialidades de Chihuahua para una atención especializada en caso de requerirlo.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Fundamento legal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fundamento legal que faculta a este Organismo Descentralizado para llevar a cabo el tratamiento de sus datos personales, se contempla en los artículos 2 y 3 del Acuerdo de Creación No. 31 publicado  en el Periódico Oficial del Estado de fecha  20 de mayo de 1992 y su última modificación publicada el 10 de diciembre de 2016.  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</w:p>
    <w:p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10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1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>
      <w:pPr>
        <w:spacing w:after="0" w:line="240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>
      <w:pPr>
        <w:spacing w:after="0" w:line="240" w:lineRule="auto"/>
        <w:jc w:val="both"/>
        <w:textAlignment w:val="baseline"/>
        <w:rPr>
          <w:sz w:val="18"/>
          <w:szCs w:val="18"/>
          <w:lang w:val="es-MX"/>
        </w:rPr>
      </w:pP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Cambios al Aviso de Privacidad</w:t>
      </w:r>
    </w:p>
    <w:p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presente aviso de privacidad puede sufrir modificaciones, cambios o actualizaciones y lo haremos de su conocimiento a través  de la siguiente liga: </w:t>
      </w:r>
      <w:hyperlink r:id="rId12" w:history="1">
        <w:r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Fecha de elaboración: 25/10/2018</w:t>
      </w:r>
    </w:p>
    <w:p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Fecha de Actualización: 23</w:t>
      </w:r>
      <w:bookmarkStart w:id="0" w:name="_GoBack"/>
      <w:bookmarkEnd w:id="0"/>
      <w:r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/05/2025</w:t>
      </w:r>
    </w:p>
    <w:sectPr>
      <w:headerReference w:type="default" r:id="rId13"/>
      <w:footerReference w:type="default" r:id="rId14"/>
      <w:pgSz w:w="12240" w:h="15840"/>
      <w:pgMar w:top="1329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ind w:firstLine="2552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5688551</wp:posOffset>
          </wp:positionH>
          <wp:positionV relativeFrom="paragraph">
            <wp:posOffset>43235</wp:posOffset>
          </wp:positionV>
          <wp:extent cx="612250" cy="6122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0 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50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171008</wp:posOffset>
          </wp:positionH>
          <wp:positionV relativeFrom="paragraph">
            <wp:posOffset>150495</wp:posOffset>
          </wp:positionV>
          <wp:extent cx="1526540" cy="38608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SEECH(2021)_impresos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Encabezado"/>
      <w:jc w:val="center"/>
    </w:pPr>
  </w:p>
  <w:p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771399"/>
    <w:multiLevelType w:val="hybridMultilevel"/>
    <w:tmpl w:val="13248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>
    <w:nsid w:val="3BAE4DC9"/>
    <w:multiLevelType w:val="hybridMultilevel"/>
    <w:tmpl w:val="A09C3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B8228-F391-499B-BB68-3BE5E127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lang w:val="en-US"/>
    </w:rPr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ch.gob.m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ech.gob.mx/site/index.php/en/node/7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aformadetransparencia.org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dulo.transparencia@seech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ech.edu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D76A-6524-477D-9F4B-1B1AE7AE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Balderrama Domínguez</dc:creator>
  <cp:lastModifiedBy>gladys_portillo</cp:lastModifiedBy>
  <cp:revision>18</cp:revision>
  <cp:lastPrinted>2018-09-20T19:39:00Z</cp:lastPrinted>
  <dcterms:created xsi:type="dcterms:W3CDTF">2018-09-20T19:38:00Z</dcterms:created>
  <dcterms:modified xsi:type="dcterms:W3CDTF">2025-05-23T17:18:00Z</dcterms:modified>
</cp:coreProperties>
</file>